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A815" w14:textId="38EE0DD4" w:rsidR="006077F7" w:rsidRPr="006077F7" w:rsidRDefault="00D457DD" w:rsidP="006077F7">
      <w:pPr>
        <w:pStyle w:val="Headline"/>
      </w:pPr>
      <w:r w:rsidRPr="00D457DD">
        <w:t xml:space="preserve">Tuzemský retail pod drobnohledem. </w:t>
      </w:r>
      <w:r w:rsidR="00DF5AA4">
        <w:t xml:space="preserve">Výroční </w:t>
      </w:r>
      <w:r w:rsidRPr="00D457DD">
        <w:t>CBRE S</w:t>
      </w:r>
      <w:r w:rsidR="00B248D7" w:rsidRPr="00D457DD">
        <w:t>hopping Centre Index</w:t>
      </w:r>
      <w:r w:rsidR="00CB6396" w:rsidRPr="00D457DD">
        <w:t xml:space="preserve"> </w:t>
      </w:r>
      <w:r w:rsidRPr="00D457DD">
        <w:t>doplňují dva rozsáhlé průzkumy mezi</w:t>
      </w:r>
      <w:r w:rsidR="00EB4BC0" w:rsidRPr="00D457DD">
        <w:t xml:space="preserve"> maloobchodník</w:t>
      </w:r>
      <w:r w:rsidRPr="00D457DD">
        <w:t>y</w:t>
      </w:r>
      <w:r w:rsidR="00EB4BC0" w:rsidRPr="00D457DD">
        <w:t xml:space="preserve"> a zákazník</w:t>
      </w:r>
      <w:r w:rsidRPr="00D457DD">
        <w:t>y</w:t>
      </w:r>
    </w:p>
    <w:p w14:paraId="536960C8" w14:textId="76CB9C3F" w:rsidR="006077F7" w:rsidRPr="007E366F" w:rsidRDefault="006077F7" w:rsidP="02C1C5E2">
      <w:pPr>
        <w:pStyle w:val="Headline"/>
      </w:pPr>
    </w:p>
    <w:p w14:paraId="5DE4D1F2" w14:textId="3114E1CF" w:rsidR="02C1C5E2" w:rsidRDefault="02C1C5E2" w:rsidP="02C1C5E2">
      <w:pPr>
        <w:pStyle w:val="Headline"/>
        <w:numPr>
          <w:ilvl w:val="0"/>
          <w:numId w:val="1"/>
        </w:numPr>
        <w:rPr>
          <w:rFonts w:asciiTheme="minorHAnsi" w:eastAsiaTheme="minorEastAsia" w:hAnsiTheme="minorHAnsi" w:cstheme="minorBidi"/>
          <w:color w:val="425153"/>
          <w:sz w:val="24"/>
          <w:szCs w:val="24"/>
        </w:rPr>
      </w:pPr>
      <w:r w:rsidRPr="02C1C5E2">
        <w:rPr>
          <w:i/>
          <w:iCs/>
          <w:color w:val="425153"/>
          <w:sz w:val="24"/>
          <w:szCs w:val="24"/>
        </w:rPr>
        <w:t xml:space="preserve">Návštěvnost </w:t>
      </w:r>
      <w:r w:rsidR="00B248D7">
        <w:rPr>
          <w:i/>
          <w:iCs/>
          <w:color w:val="425153"/>
          <w:sz w:val="24"/>
          <w:szCs w:val="24"/>
        </w:rPr>
        <w:t xml:space="preserve">v regionálních nákupních centrech </w:t>
      </w:r>
      <w:r w:rsidR="00232670">
        <w:rPr>
          <w:i/>
          <w:iCs/>
          <w:color w:val="425153"/>
          <w:sz w:val="24"/>
          <w:szCs w:val="24"/>
        </w:rPr>
        <w:t>se</w:t>
      </w:r>
      <w:r w:rsidR="008A3BF8">
        <w:rPr>
          <w:i/>
          <w:iCs/>
          <w:color w:val="425153"/>
          <w:sz w:val="24"/>
          <w:szCs w:val="24"/>
        </w:rPr>
        <w:t xml:space="preserve"> </w:t>
      </w:r>
      <w:r w:rsidR="00771DF2">
        <w:rPr>
          <w:i/>
          <w:iCs/>
          <w:color w:val="425153"/>
          <w:sz w:val="24"/>
          <w:szCs w:val="24"/>
        </w:rPr>
        <w:t xml:space="preserve">i přes dlouhotrvající </w:t>
      </w:r>
      <w:proofErr w:type="spellStart"/>
      <w:r w:rsidR="00771DF2">
        <w:rPr>
          <w:i/>
          <w:iCs/>
          <w:color w:val="425153"/>
          <w:sz w:val="24"/>
          <w:szCs w:val="24"/>
        </w:rPr>
        <w:t>lockdown</w:t>
      </w:r>
      <w:proofErr w:type="spellEnd"/>
      <w:r w:rsidR="00771DF2">
        <w:rPr>
          <w:i/>
          <w:iCs/>
          <w:color w:val="425153"/>
          <w:sz w:val="24"/>
          <w:szCs w:val="24"/>
        </w:rPr>
        <w:t xml:space="preserve"> ze začátku </w:t>
      </w:r>
      <w:r w:rsidR="00A16B92">
        <w:rPr>
          <w:i/>
          <w:iCs/>
          <w:color w:val="425153"/>
          <w:sz w:val="24"/>
          <w:szCs w:val="24"/>
        </w:rPr>
        <w:t xml:space="preserve">loňského roku </w:t>
      </w:r>
      <w:r w:rsidR="00232670">
        <w:rPr>
          <w:i/>
          <w:iCs/>
          <w:color w:val="425153"/>
          <w:sz w:val="24"/>
          <w:szCs w:val="24"/>
        </w:rPr>
        <w:t>téměř nezměnila</w:t>
      </w:r>
    </w:p>
    <w:p w14:paraId="5906B387" w14:textId="18D3773B" w:rsidR="02C1C5E2" w:rsidRDefault="02C1C5E2" w:rsidP="02C1C5E2">
      <w:pPr>
        <w:pStyle w:val="Headline"/>
        <w:numPr>
          <w:ilvl w:val="0"/>
          <w:numId w:val="1"/>
        </w:numPr>
        <w:rPr>
          <w:color w:val="425153"/>
          <w:sz w:val="24"/>
          <w:szCs w:val="24"/>
        </w:rPr>
      </w:pPr>
      <w:r w:rsidRPr="02C1C5E2">
        <w:rPr>
          <w:i/>
          <w:iCs/>
          <w:color w:val="425153"/>
          <w:sz w:val="24"/>
          <w:szCs w:val="24"/>
        </w:rPr>
        <w:t>Nákupní koš v</w:t>
      </w:r>
      <w:r w:rsidR="00B248D7">
        <w:rPr>
          <w:i/>
          <w:iCs/>
          <w:color w:val="425153"/>
          <w:sz w:val="24"/>
          <w:szCs w:val="24"/>
        </w:rPr>
        <w:t>z</w:t>
      </w:r>
      <w:r w:rsidRPr="02C1C5E2">
        <w:rPr>
          <w:i/>
          <w:iCs/>
          <w:color w:val="425153"/>
          <w:sz w:val="24"/>
          <w:szCs w:val="24"/>
        </w:rPr>
        <w:t xml:space="preserve">rostl </w:t>
      </w:r>
      <w:r w:rsidR="008A3BF8">
        <w:rPr>
          <w:i/>
          <w:iCs/>
          <w:color w:val="425153"/>
          <w:sz w:val="24"/>
          <w:szCs w:val="24"/>
        </w:rPr>
        <w:t xml:space="preserve">v průměru </w:t>
      </w:r>
      <w:r w:rsidRPr="02C1C5E2">
        <w:rPr>
          <w:i/>
          <w:iCs/>
          <w:color w:val="425153"/>
          <w:sz w:val="24"/>
          <w:szCs w:val="24"/>
        </w:rPr>
        <w:t>o více než 10 % na 260 Kč za návštěvu</w:t>
      </w:r>
    </w:p>
    <w:p w14:paraId="327AFFB5" w14:textId="5D4EFCC9" w:rsidR="02C1C5E2" w:rsidRDefault="02C1C5E2" w:rsidP="02C1C5E2">
      <w:pPr>
        <w:pStyle w:val="Headline"/>
        <w:numPr>
          <w:ilvl w:val="0"/>
          <w:numId w:val="1"/>
        </w:numPr>
        <w:rPr>
          <w:color w:val="425153"/>
          <w:sz w:val="24"/>
          <w:szCs w:val="24"/>
        </w:rPr>
      </w:pPr>
      <w:r w:rsidRPr="02C1C5E2">
        <w:rPr>
          <w:i/>
          <w:iCs/>
          <w:color w:val="425153"/>
          <w:sz w:val="24"/>
          <w:szCs w:val="24"/>
        </w:rPr>
        <w:t xml:space="preserve">Tržby si polepšily o cca </w:t>
      </w:r>
      <w:r w:rsidRPr="008A3BF8">
        <w:rPr>
          <w:i/>
          <w:iCs/>
          <w:color w:val="425153"/>
          <w:sz w:val="24"/>
          <w:szCs w:val="24"/>
        </w:rPr>
        <w:t>15 %</w:t>
      </w:r>
    </w:p>
    <w:p w14:paraId="59BD79C0" w14:textId="099B741E" w:rsidR="02C1C5E2" w:rsidRPr="008A3BF8" w:rsidRDefault="02C1C5E2" w:rsidP="02C1C5E2">
      <w:pPr>
        <w:pStyle w:val="Headline"/>
        <w:numPr>
          <w:ilvl w:val="0"/>
          <w:numId w:val="1"/>
        </w:numPr>
        <w:rPr>
          <w:color w:val="425153"/>
          <w:sz w:val="24"/>
          <w:szCs w:val="24"/>
        </w:rPr>
      </w:pPr>
      <w:r w:rsidRPr="02C1C5E2">
        <w:rPr>
          <w:i/>
          <w:iCs/>
          <w:color w:val="425153"/>
          <w:sz w:val="24"/>
          <w:szCs w:val="24"/>
        </w:rPr>
        <w:t>Neobsazenost zůstala stabilní na 4,4 %</w:t>
      </w:r>
    </w:p>
    <w:p w14:paraId="57564B1E" w14:textId="77777777" w:rsidR="008A3BF8" w:rsidRDefault="008A3BF8" w:rsidP="008A3BF8">
      <w:pPr>
        <w:pStyle w:val="Headline"/>
        <w:numPr>
          <w:ilvl w:val="0"/>
          <w:numId w:val="1"/>
        </w:numPr>
        <w:rPr>
          <w:color w:val="425153"/>
          <w:sz w:val="24"/>
          <w:szCs w:val="24"/>
        </w:rPr>
      </w:pPr>
      <w:r w:rsidRPr="02C1C5E2">
        <w:rPr>
          <w:i/>
          <w:iCs/>
          <w:color w:val="425153"/>
          <w:sz w:val="24"/>
          <w:szCs w:val="24"/>
        </w:rPr>
        <w:t>Nájemné se zvýšilo o necelé 1 %</w:t>
      </w:r>
    </w:p>
    <w:p w14:paraId="425E2509" w14:textId="79AD158B" w:rsidR="02C1C5E2" w:rsidRDefault="02C1C5E2" w:rsidP="02C1C5E2">
      <w:pPr>
        <w:pStyle w:val="Headline"/>
        <w:numPr>
          <w:ilvl w:val="0"/>
          <w:numId w:val="1"/>
        </w:numPr>
        <w:rPr>
          <w:rFonts w:asciiTheme="minorHAnsi" w:eastAsiaTheme="minorEastAsia" w:hAnsiTheme="minorHAnsi" w:cstheme="minorBidi"/>
          <w:color w:val="425153"/>
          <w:sz w:val="24"/>
          <w:szCs w:val="24"/>
        </w:rPr>
      </w:pPr>
      <w:r w:rsidRPr="02C1C5E2">
        <w:rPr>
          <w:i/>
          <w:iCs/>
          <w:color w:val="425153"/>
          <w:sz w:val="24"/>
          <w:szCs w:val="24"/>
        </w:rPr>
        <w:t xml:space="preserve">Klíčovou roli do budoucna sehrají </w:t>
      </w:r>
      <w:r w:rsidR="00B248D7">
        <w:rPr>
          <w:i/>
          <w:iCs/>
          <w:color w:val="425153"/>
          <w:sz w:val="24"/>
          <w:szCs w:val="24"/>
        </w:rPr>
        <w:t xml:space="preserve">tzv. </w:t>
      </w:r>
      <w:proofErr w:type="spellStart"/>
      <w:r w:rsidRPr="02C1C5E2">
        <w:rPr>
          <w:i/>
          <w:iCs/>
          <w:color w:val="425153"/>
          <w:sz w:val="24"/>
          <w:szCs w:val="24"/>
        </w:rPr>
        <w:t>omnichannel</w:t>
      </w:r>
      <w:proofErr w:type="spellEnd"/>
      <w:r w:rsidRPr="02C1C5E2">
        <w:rPr>
          <w:i/>
          <w:iCs/>
          <w:color w:val="425153"/>
          <w:sz w:val="24"/>
          <w:szCs w:val="24"/>
        </w:rPr>
        <w:t xml:space="preserve"> strategie</w:t>
      </w:r>
    </w:p>
    <w:p w14:paraId="3469BF8C" w14:textId="722B2806" w:rsidR="02C1C5E2" w:rsidRDefault="02C1C5E2" w:rsidP="02C1C5E2">
      <w:pPr>
        <w:pStyle w:val="Headline"/>
        <w:numPr>
          <w:ilvl w:val="0"/>
          <w:numId w:val="1"/>
        </w:numPr>
        <w:rPr>
          <w:color w:val="425153"/>
          <w:sz w:val="24"/>
          <w:szCs w:val="24"/>
        </w:rPr>
      </w:pPr>
      <w:r w:rsidRPr="02C1C5E2">
        <w:rPr>
          <w:i/>
          <w:iCs/>
          <w:color w:val="425153"/>
          <w:sz w:val="24"/>
          <w:szCs w:val="24"/>
        </w:rPr>
        <w:t>Největší obava panuje z rostoucí inflace</w:t>
      </w:r>
      <w:r w:rsidR="008A3BF8">
        <w:rPr>
          <w:i/>
          <w:iCs/>
          <w:color w:val="425153"/>
          <w:sz w:val="24"/>
          <w:szCs w:val="24"/>
        </w:rPr>
        <w:t xml:space="preserve"> a omezení výdajů </w:t>
      </w:r>
    </w:p>
    <w:p w14:paraId="7EE08514" w14:textId="4E8A2D90" w:rsidR="02C1C5E2" w:rsidRDefault="02C1C5E2" w:rsidP="02C1C5E2">
      <w:pPr>
        <w:pStyle w:val="Headline"/>
        <w:rPr>
          <w:color w:val="425153"/>
        </w:rPr>
      </w:pPr>
      <w:r w:rsidRPr="02C1C5E2">
        <w:rPr>
          <w:color w:val="425153"/>
        </w:rPr>
        <w:t xml:space="preserve"> </w:t>
      </w:r>
    </w:p>
    <w:p w14:paraId="00F72DFD" w14:textId="344B8F9E" w:rsidR="065FC1AA" w:rsidRDefault="065FC1AA" w:rsidP="00784D2C">
      <w:pPr>
        <w:pStyle w:val="BodyCopy"/>
        <w:jc w:val="both"/>
      </w:pPr>
      <w:r w:rsidRPr="02C1C5E2">
        <w:rPr>
          <w:b/>
          <w:bCs/>
        </w:rPr>
        <w:t xml:space="preserve">Praha – </w:t>
      </w:r>
      <w:r w:rsidR="7CA79AFA" w:rsidRPr="02C1C5E2">
        <w:rPr>
          <w:b/>
          <w:bCs/>
        </w:rPr>
        <w:t>8</w:t>
      </w:r>
      <w:r w:rsidR="3FE55DA6" w:rsidRPr="02C1C5E2">
        <w:rPr>
          <w:b/>
          <w:bCs/>
        </w:rPr>
        <w:t xml:space="preserve">. </w:t>
      </w:r>
      <w:r w:rsidR="7CA79AFA" w:rsidRPr="02C1C5E2">
        <w:rPr>
          <w:b/>
          <w:bCs/>
        </w:rPr>
        <w:t>červn</w:t>
      </w:r>
      <w:r w:rsidR="40FE492D" w:rsidRPr="02C1C5E2">
        <w:rPr>
          <w:b/>
          <w:bCs/>
        </w:rPr>
        <w:t>a</w:t>
      </w:r>
      <w:r w:rsidR="34C96A6D" w:rsidRPr="02C1C5E2">
        <w:rPr>
          <w:b/>
          <w:bCs/>
        </w:rPr>
        <w:t xml:space="preserve"> 2022</w:t>
      </w:r>
      <w:r w:rsidRPr="02C1C5E2">
        <w:rPr>
          <w:b/>
          <w:bCs/>
        </w:rPr>
        <w:t xml:space="preserve"> </w:t>
      </w:r>
      <w:r w:rsidR="24043D81" w:rsidRPr="02C1C5E2">
        <w:t>–</w:t>
      </w:r>
      <w:r w:rsidR="3628CD42" w:rsidRPr="02C1C5E2">
        <w:t xml:space="preserve"> </w:t>
      </w:r>
      <w:r w:rsidR="7CA79AFA" w:rsidRPr="02C1C5E2">
        <w:t>Společnost CBRE, světový lídr v oblasti správy a pronájmu maloobchodních prostor, zveřejnila výsledky</w:t>
      </w:r>
      <w:r w:rsidR="00B248D7">
        <w:t xml:space="preserve"> své</w:t>
      </w:r>
      <w:r w:rsidR="7CA79AFA" w:rsidRPr="02C1C5E2">
        <w:t xml:space="preserve"> rozsáhlé analýzy Shopping Centre Index, která </w:t>
      </w:r>
      <w:r w:rsidR="0233E86C" w:rsidRPr="02C1C5E2">
        <w:t xml:space="preserve">každoročně posuzuje výkonnost regionálních nákupních center za uplynulý rok. Hlavními kritérii jsou </w:t>
      </w:r>
      <w:r w:rsidR="66AA632F" w:rsidRPr="02C1C5E2">
        <w:t>návštěvnost, dosažené tržby, hodnota nákupního koše, výše nájmů</w:t>
      </w:r>
      <w:r w:rsidR="00D849FA">
        <w:t xml:space="preserve">, </w:t>
      </w:r>
      <w:r w:rsidR="00232670">
        <w:t xml:space="preserve">a </w:t>
      </w:r>
      <w:r w:rsidR="66AA632F" w:rsidRPr="02C1C5E2">
        <w:t>míra neobsazenosti</w:t>
      </w:r>
      <w:r w:rsidR="160590E2" w:rsidRPr="02C1C5E2">
        <w:t>. Jubilejní 10. edici navíc exkluzivně</w:t>
      </w:r>
      <w:r w:rsidR="0233E86C" w:rsidRPr="02C1C5E2">
        <w:t xml:space="preserve"> doplnily dva průzkumy: </w:t>
      </w:r>
      <w:r w:rsidR="3FB23B07" w:rsidRPr="02C1C5E2">
        <w:t xml:space="preserve">zákaznického chování a </w:t>
      </w:r>
      <w:r w:rsidR="00C405D4">
        <w:t xml:space="preserve">také </w:t>
      </w:r>
      <w:r w:rsidR="3FB23B07" w:rsidRPr="02C1C5E2">
        <w:t xml:space="preserve">očekávání </w:t>
      </w:r>
      <w:r w:rsidR="00771DF2">
        <w:t>vývoje a plán</w:t>
      </w:r>
      <w:r w:rsidR="00CB6396">
        <w:t>ů</w:t>
      </w:r>
      <w:r w:rsidR="00771DF2">
        <w:t xml:space="preserve"> </w:t>
      </w:r>
      <w:r w:rsidR="3FB23B07" w:rsidRPr="02C1C5E2">
        <w:t xml:space="preserve">na straně maloobchodníků. </w:t>
      </w:r>
    </w:p>
    <w:p w14:paraId="31F7A93A" w14:textId="77777777" w:rsidR="00C56B2B" w:rsidRDefault="00C56B2B" w:rsidP="00784D2C">
      <w:pPr>
        <w:pStyle w:val="BodyCopy"/>
        <w:jc w:val="both"/>
      </w:pPr>
    </w:p>
    <w:p w14:paraId="105AC2C5" w14:textId="139B59DD" w:rsidR="002C5CA1" w:rsidRPr="00FF6129" w:rsidRDefault="002C5CA1" w:rsidP="00784D2C">
      <w:pPr>
        <w:pStyle w:val="BodyCopy"/>
        <w:jc w:val="both"/>
        <w:rPr>
          <w:color w:val="425153"/>
        </w:rPr>
      </w:pPr>
      <w:r w:rsidRPr="02C1C5E2">
        <w:rPr>
          <w:color w:val="425153"/>
        </w:rPr>
        <w:t>Získaná data ukazují, že</w:t>
      </w:r>
      <w:r>
        <w:rPr>
          <w:color w:val="425153"/>
        </w:rPr>
        <w:t xml:space="preserve"> </w:t>
      </w:r>
      <w:r w:rsidRPr="02C1C5E2">
        <w:rPr>
          <w:color w:val="425153"/>
        </w:rPr>
        <w:t>pokud jde o návštěvn</w:t>
      </w:r>
      <w:r>
        <w:rPr>
          <w:color w:val="425153"/>
        </w:rPr>
        <w:t xml:space="preserve">ost regionálních nákupních center, </w:t>
      </w:r>
      <w:r w:rsidRPr="02C1C5E2">
        <w:rPr>
          <w:color w:val="425153"/>
        </w:rPr>
        <w:t xml:space="preserve">v roce 2021 </w:t>
      </w:r>
      <w:r>
        <w:rPr>
          <w:color w:val="425153"/>
        </w:rPr>
        <w:t xml:space="preserve">zůstala v porovnání s předchozím rokem na podobných hodnotách a v </w:t>
      </w:r>
      <w:r w:rsidRPr="02C1C5E2">
        <w:rPr>
          <w:color w:val="425153"/>
        </w:rPr>
        <w:t>celoročním úhrnu z</w:t>
      </w:r>
      <w:r>
        <w:rPr>
          <w:color w:val="425153"/>
        </w:rPr>
        <w:t>aostávala za</w:t>
      </w:r>
      <w:r w:rsidR="0055626C">
        <w:rPr>
          <w:color w:val="425153"/>
        </w:rPr>
        <w:t> </w:t>
      </w:r>
      <w:r>
        <w:rPr>
          <w:color w:val="425153"/>
        </w:rPr>
        <w:t>hodnotami z </w:t>
      </w:r>
      <w:proofErr w:type="spellStart"/>
      <w:r>
        <w:rPr>
          <w:color w:val="425153"/>
        </w:rPr>
        <w:t>předcovidového</w:t>
      </w:r>
      <w:proofErr w:type="spellEnd"/>
      <w:r>
        <w:rPr>
          <w:color w:val="425153"/>
        </w:rPr>
        <w:t xml:space="preserve"> roku 2019 o 27 %. </w:t>
      </w:r>
      <w:r w:rsidR="00EB5941">
        <w:rPr>
          <w:color w:val="425153"/>
        </w:rPr>
        <w:t>„</w:t>
      </w:r>
      <w:r>
        <w:rPr>
          <w:i/>
          <w:iCs/>
          <w:color w:val="425153"/>
        </w:rPr>
        <w:t>Ačkoliv č</w:t>
      </w:r>
      <w:r w:rsidRPr="02C1C5E2">
        <w:rPr>
          <w:i/>
          <w:iCs/>
          <w:color w:val="425153"/>
        </w:rPr>
        <w:t>ísla návštěvnosti</w:t>
      </w:r>
      <w:r>
        <w:rPr>
          <w:i/>
          <w:iCs/>
          <w:color w:val="425153"/>
        </w:rPr>
        <w:t xml:space="preserve"> naznačují </w:t>
      </w:r>
      <w:r w:rsidRPr="02C1C5E2">
        <w:rPr>
          <w:i/>
          <w:iCs/>
          <w:color w:val="425153"/>
        </w:rPr>
        <w:t>změnu v zákaznickém chování, z vývoje tržeb je patrné, že se jedná především o odlišnou f</w:t>
      </w:r>
      <w:r>
        <w:rPr>
          <w:i/>
          <w:iCs/>
          <w:color w:val="425153"/>
        </w:rPr>
        <w:t>rekvenci nákupů a</w:t>
      </w:r>
      <w:r w:rsidR="0055626C">
        <w:rPr>
          <w:i/>
          <w:iCs/>
          <w:color w:val="425153"/>
        </w:rPr>
        <w:t> </w:t>
      </w:r>
      <w:r>
        <w:rPr>
          <w:i/>
          <w:iCs/>
          <w:color w:val="425153"/>
        </w:rPr>
        <w:t>jejich plánování. To potvrzuje i </w:t>
      </w:r>
      <w:r w:rsidRPr="02C1C5E2">
        <w:rPr>
          <w:i/>
          <w:iCs/>
          <w:color w:val="425153"/>
        </w:rPr>
        <w:t xml:space="preserve">meziroční navýšení nákupního koše o více než 10 % na téměř 260 Kč za </w:t>
      </w:r>
      <w:r>
        <w:rPr>
          <w:i/>
          <w:iCs/>
          <w:color w:val="425153"/>
        </w:rPr>
        <w:t xml:space="preserve">jednu </w:t>
      </w:r>
      <w:r w:rsidRPr="02C1C5E2">
        <w:rPr>
          <w:i/>
          <w:iCs/>
          <w:color w:val="425153"/>
        </w:rPr>
        <w:t>návštěvu</w:t>
      </w:r>
      <w:r>
        <w:rPr>
          <w:i/>
          <w:iCs/>
          <w:color w:val="425153"/>
        </w:rPr>
        <w:t xml:space="preserve"> obchodního centra</w:t>
      </w:r>
      <w:r w:rsidRPr="02C1C5E2">
        <w:rPr>
          <w:i/>
          <w:iCs/>
          <w:color w:val="425153"/>
        </w:rPr>
        <w:t>.</w:t>
      </w:r>
      <w:r w:rsidRPr="02C1C5E2">
        <w:rPr>
          <w:color w:val="425153"/>
        </w:rPr>
        <w:t xml:space="preserve"> </w:t>
      </w:r>
      <w:r>
        <w:rPr>
          <w:i/>
          <w:iCs/>
          <w:color w:val="425153"/>
        </w:rPr>
        <w:t>Další p</w:t>
      </w:r>
      <w:r w:rsidRPr="02C1C5E2">
        <w:rPr>
          <w:i/>
          <w:iCs/>
          <w:color w:val="425153"/>
        </w:rPr>
        <w:t xml:space="preserve">ozitivní zprávou je fakt, že vloni během </w:t>
      </w:r>
      <w:r>
        <w:rPr>
          <w:i/>
          <w:iCs/>
          <w:color w:val="425153"/>
        </w:rPr>
        <w:t xml:space="preserve">dlouhotrvajícího </w:t>
      </w:r>
      <w:proofErr w:type="spellStart"/>
      <w:r w:rsidRPr="02C1C5E2">
        <w:rPr>
          <w:i/>
          <w:iCs/>
          <w:color w:val="425153"/>
        </w:rPr>
        <w:t>lockdownu</w:t>
      </w:r>
      <w:proofErr w:type="spellEnd"/>
      <w:r w:rsidRPr="02C1C5E2">
        <w:rPr>
          <w:i/>
          <w:iCs/>
          <w:color w:val="425153"/>
        </w:rPr>
        <w:t xml:space="preserve"> již nedošlo k tak výraznému poklesu návštěvnosti, který v roce 2020 dosahoval až -70 %. </w:t>
      </w:r>
      <w:r w:rsidR="00AC581D">
        <w:rPr>
          <w:i/>
          <w:iCs/>
          <w:color w:val="425153"/>
        </w:rPr>
        <w:t>I</w:t>
      </w:r>
      <w:r w:rsidR="0055626C">
        <w:rPr>
          <w:i/>
          <w:iCs/>
          <w:color w:val="425153"/>
        </w:rPr>
        <w:t> </w:t>
      </w:r>
      <w:r w:rsidR="00AC581D">
        <w:rPr>
          <w:i/>
          <w:iCs/>
          <w:color w:val="425153"/>
        </w:rPr>
        <w:t xml:space="preserve">z toho důvodu </w:t>
      </w:r>
      <w:r w:rsidR="003B3643">
        <w:rPr>
          <w:i/>
          <w:iCs/>
          <w:color w:val="425153"/>
        </w:rPr>
        <w:t xml:space="preserve">se </w:t>
      </w:r>
      <w:r w:rsidR="00034D71">
        <w:rPr>
          <w:i/>
          <w:iCs/>
          <w:color w:val="425153"/>
        </w:rPr>
        <w:t>předloni</w:t>
      </w:r>
      <w:r w:rsidR="00EB5941">
        <w:rPr>
          <w:i/>
          <w:iCs/>
          <w:color w:val="425153"/>
        </w:rPr>
        <w:t xml:space="preserve"> celoroční tržby</w:t>
      </w:r>
      <w:r>
        <w:rPr>
          <w:i/>
          <w:iCs/>
          <w:color w:val="425153"/>
        </w:rPr>
        <w:t xml:space="preserve"> maloobchodníků </w:t>
      </w:r>
      <w:r w:rsidR="00034D71">
        <w:rPr>
          <w:i/>
          <w:iCs/>
          <w:color w:val="425153"/>
        </w:rPr>
        <w:t xml:space="preserve">propadly </w:t>
      </w:r>
      <w:r>
        <w:rPr>
          <w:i/>
          <w:iCs/>
          <w:color w:val="425153"/>
        </w:rPr>
        <w:t xml:space="preserve">o více než 25 %. </w:t>
      </w:r>
      <w:r w:rsidR="003B3643">
        <w:rPr>
          <w:i/>
          <w:iCs/>
          <w:color w:val="425153"/>
        </w:rPr>
        <w:t>Ovšem l</w:t>
      </w:r>
      <w:r w:rsidRPr="02C1C5E2">
        <w:rPr>
          <w:i/>
          <w:iCs/>
          <w:color w:val="425153"/>
        </w:rPr>
        <w:t xml:space="preserve">oňský rok již </w:t>
      </w:r>
      <w:r>
        <w:rPr>
          <w:i/>
          <w:iCs/>
          <w:color w:val="425153"/>
        </w:rPr>
        <w:t xml:space="preserve">z pohledu celkových tržeb </w:t>
      </w:r>
      <w:r w:rsidR="00034D71" w:rsidRPr="02C1C5E2">
        <w:rPr>
          <w:i/>
          <w:iCs/>
          <w:color w:val="425153"/>
        </w:rPr>
        <w:t xml:space="preserve">přinesl </w:t>
      </w:r>
      <w:r w:rsidRPr="02C1C5E2">
        <w:rPr>
          <w:i/>
          <w:iCs/>
          <w:color w:val="425153"/>
        </w:rPr>
        <w:t xml:space="preserve">zotavení </w:t>
      </w:r>
      <w:r w:rsidRPr="00AC581D">
        <w:rPr>
          <w:i/>
          <w:iCs/>
          <w:color w:val="425153"/>
        </w:rPr>
        <w:t>o téměř 15 %,”</w:t>
      </w:r>
      <w:r w:rsidRPr="02C1C5E2">
        <w:rPr>
          <w:i/>
          <w:iCs/>
          <w:color w:val="425153"/>
        </w:rPr>
        <w:t xml:space="preserve"> </w:t>
      </w:r>
      <w:r w:rsidRPr="02C1C5E2">
        <w:rPr>
          <w:color w:val="425153"/>
        </w:rPr>
        <w:t>komentuje</w:t>
      </w:r>
      <w:r w:rsidRPr="02C1C5E2">
        <w:rPr>
          <w:i/>
          <w:iCs/>
          <w:color w:val="425153"/>
        </w:rPr>
        <w:t xml:space="preserve"> </w:t>
      </w:r>
      <w:r w:rsidRPr="000C2615">
        <w:rPr>
          <w:b/>
          <w:bCs/>
          <w:color w:val="425153"/>
        </w:rPr>
        <w:t xml:space="preserve">Klára </w:t>
      </w:r>
      <w:proofErr w:type="spellStart"/>
      <w:r w:rsidRPr="000C2615">
        <w:rPr>
          <w:b/>
          <w:bCs/>
          <w:color w:val="425153"/>
        </w:rPr>
        <w:t>Bejblová</w:t>
      </w:r>
      <w:proofErr w:type="spellEnd"/>
      <w:r w:rsidRPr="000C2615">
        <w:rPr>
          <w:b/>
          <w:bCs/>
          <w:color w:val="425153"/>
        </w:rPr>
        <w:t>, specialistka CBRE na průzkum trhu a poradenství v oblasti maloobchodu pro Českou republiku a</w:t>
      </w:r>
      <w:r w:rsidR="0055626C">
        <w:rPr>
          <w:b/>
          <w:bCs/>
          <w:color w:val="425153"/>
        </w:rPr>
        <w:t> </w:t>
      </w:r>
      <w:r w:rsidRPr="000C2615">
        <w:rPr>
          <w:b/>
          <w:bCs/>
          <w:color w:val="425153"/>
        </w:rPr>
        <w:t>region</w:t>
      </w:r>
      <w:r>
        <w:rPr>
          <w:b/>
          <w:bCs/>
          <w:color w:val="425153"/>
        </w:rPr>
        <w:t xml:space="preserve"> CEE</w:t>
      </w:r>
      <w:r w:rsidRPr="0005236C">
        <w:rPr>
          <w:color w:val="425153"/>
        </w:rPr>
        <w:t>.</w:t>
      </w:r>
      <w:r w:rsidRPr="02C1C5E2">
        <w:rPr>
          <w:color w:val="425153"/>
        </w:rPr>
        <w:t xml:space="preserve"> Obchodní centra zaznamenala velmi dobré výsledky prakticky ihned po znovuotevření obchodů. Ty byly motivovány mj.</w:t>
      </w:r>
      <w:r>
        <w:rPr>
          <w:color w:val="425153"/>
        </w:rPr>
        <w:t xml:space="preserve"> </w:t>
      </w:r>
      <w:r w:rsidRPr="02C1C5E2">
        <w:rPr>
          <w:color w:val="425153"/>
        </w:rPr>
        <w:t xml:space="preserve">odloženou spotřebou a v průměru se </w:t>
      </w:r>
      <w:r>
        <w:rPr>
          <w:color w:val="425153"/>
        </w:rPr>
        <w:t>při</w:t>
      </w:r>
      <w:r w:rsidRPr="02C1C5E2">
        <w:rPr>
          <w:color w:val="425153"/>
        </w:rPr>
        <w:t>blížily tržbám z roku 2019. I</w:t>
      </w:r>
      <w:r w:rsidR="0055626C">
        <w:rPr>
          <w:color w:val="425153"/>
        </w:rPr>
        <w:t> </w:t>
      </w:r>
      <w:r w:rsidRPr="02C1C5E2">
        <w:rPr>
          <w:color w:val="425153"/>
        </w:rPr>
        <w:t xml:space="preserve">přesto celkový výsledek </w:t>
      </w:r>
      <w:r>
        <w:rPr>
          <w:color w:val="425153"/>
        </w:rPr>
        <w:t xml:space="preserve">tržeb </w:t>
      </w:r>
      <w:r w:rsidRPr="02C1C5E2">
        <w:rPr>
          <w:color w:val="425153"/>
        </w:rPr>
        <w:t xml:space="preserve">poznamenal 18týdenní </w:t>
      </w:r>
      <w:proofErr w:type="spellStart"/>
      <w:r w:rsidRPr="02C1C5E2">
        <w:rPr>
          <w:color w:val="425153"/>
        </w:rPr>
        <w:t>lockdown</w:t>
      </w:r>
      <w:proofErr w:type="spellEnd"/>
      <w:r w:rsidRPr="02C1C5E2">
        <w:rPr>
          <w:color w:val="425153"/>
        </w:rPr>
        <w:t xml:space="preserve">, </w:t>
      </w:r>
      <w:r>
        <w:rPr>
          <w:color w:val="425153"/>
        </w:rPr>
        <w:t xml:space="preserve">a tak </w:t>
      </w:r>
      <w:r w:rsidRPr="02C1C5E2">
        <w:rPr>
          <w:color w:val="425153"/>
        </w:rPr>
        <w:t xml:space="preserve">loňský rok </w:t>
      </w:r>
      <w:r>
        <w:rPr>
          <w:color w:val="425153"/>
        </w:rPr>
        <w:t xml:space="preserve">nakonec </w:t>
      </w:r>
      <w:r w:rsidRPr="02C1C5E2">
        <w:rPr>
          <w:color w:val="425153"/>
        </w:rPr>
        <w:t xml:space="preserve">za rokem 2019 </w:t>
      </w:r>
      <w:r>
        <w:rPr>
          <w:color w:val="425153"/>
        </w:rPr>
        <w:t xml:space="preserve">zaostal </w:t>
      </w:r>
      <w:r w:rsidRPr="02C1C5E2">
        <w:rPr>
          <w:color w:val="425153"/>
        </w:rPr>
        <w:t>o cca 15 %.</w:t>
      </w:r>
    </w:p>
    <w:p w14:paraId="04EECA20" w14:textId="77777777" w:rsidR="002C5CA1" w:rsidRDefault="002C5CA1" w:rsidP="00784D2C">
      <w:pPr>
        <w:pStyle w:val="BodyCopy"/>
        <w:jc w:val="both"/>
      </w:pPr>
    </w:p>
    <w:p w14:paraId="57CCD6D6" w14:textId="77777777" w:rsidR="002C5CA1" w:rsidRDefault="002C5CA1" w:rsidP="00784D2C">
      <w:pPr>
        <w:pStyle w:val="BodyCopy"/>
        <w:jc w:val="both"/>
        <w:rPr>
          <w:color w:val="425153"/>
        </w:rPr>
      </w:pPr>
      <w:r w:rsidRPr="02C1C5E2">
        <w:rPr>
          <w:b/>
          <w:bCs/>
          <w:color w:val="425153"/>
        </w:rPr>
        <w:t>V tržbách si nejlépe vedl specializovaný maloobchod</w:t>
      </w:r>
      <w:r w:rsidRPr="02C1C5E2">
        <w:rPr>
          <w:color w:val="425153"/>
        </w:rPr>
        <w:t xml:space="preserve"> </w:t>
      </w:r>
    </w:p>
    <w:p w14:paraId="685AA5D5" w14:textId="61998D13" w:rsidR="002C5CA1" w:rsidRDefault="002C5CA1" w:rsidP="00784D2C">
      <w:pPr>
        <w:pStyle w:val="BodyCopy"/>
        <w:jc w:val="both"/>
      </w:pPr>
      <w:r w:rsidRPr="02C1C5E2">
        <w:rPr>
          <w:color w:val="425153"/>
        </w:rPr>
        <w:t xml:space="preserve">Sektorem, který v porovnání s rokem 2019 zaznamenal nejmenší pokles </w:t>
      </w:r>
      <w:proofErr w:type="gramStart"/>
      <w:r w:rsidRPr="02C1C5E2">
        <w:rPr>
          <w:color w:val="425153"/>
        </w:rPr>
        <w:t xml:space="preserve">tržeb </w:t>
      </w:r>
      <w:r>
        <w:rPr>
          <w:color w:val="425153"/>
        </w:rPr>
        <w:t>(</w:t>
      </w:r>
      <w:r w:rsidRPr="02C1C5E2">
        <w:rPr>
          <w:color w:val="425153"/>
        </w:rPr>
        <w:t>o ,,pouhých</w:t>
      </w:r>
      <w:proofErr w:type="gramEnd"/>
      <w:r w:rsidRPr="02C1C5E2">
        <w:rPr>
          <w:color w:val="425153"/>
        </w:rPr>
        <w:t>” 6 %</w:t>
      </w:r>
      <w:r>
        <w:rPr>
          <w:color w:val="425153"/>
        </w:rPr>
        <w:t>)</w:t>
      </w:r>
      <w:r w:rsidRPr="02C1C5E2">
        <w:rPr>
          <w:color w:val="425153"/>
        </w:rPr>
        <w:t>, byl</w:t>
      </w:r>
      <w:r w:rsidR="0055626C">
        <w:rPr>
          <w:color w:val="425153"/>
        </w:rPr>
        <w:t> </w:t>
      </w:r>
      <w:r w:rsidRPr="02C1C5E2">
        <w:rPr>
          <w:color w:val="425153"/>
        </w:rPr>
        <w:t>specializovaný maloobchod. Tento výsledek významně ovlivnily kategorie</w:t>
      </w:r>
      <w:r>
        <w:rPr>
          <w:color w:val="425153"/>
        </w:rPr>
        <w:t xml:space="preserve"> zboží</w:t>
      </w:r>
      <w:r w:rsidRPr="02C1C5E2">
        <w:rPr>
          <w:color w:val="425153"/>
        </w:rPr>
        <w:t>, na které se</w:t>
      </w:r>
      <w:r w:rsidR="0055626C">
        <w:rPr>
          <w:color w:val="425153"/>
        </w:rPr>
        <w:t> </w:t>
      </w:r>
      <w:r w:rsidRPr="02C1C5E2">
        <w:rPr>
          <w:color w:val="425153"/>
        </w:rPr>
        <w:t xml:space="preserve">nevztahovaly omezení prodeje. Jednalo se především o </w:t>
      </w:r>
      <w:r>
        <w:rPr>
          <w:color w:val="425153"/>
        </w:rPr>
        <w:t xml:space="preserve">kategorie </w:t>
      </w:r>
      <w:r w:rsidRPr="02C1C5E2">
        <w:rPr>
          <w:color w:val="425153"/>
        </w:rPr>
        <w:t>Optiky &amp; Lékárny (+11 %) a</w:t>
      </w:r>
      <w:r w:rsidR="0055626C">
        <w:rPr>
          <w:color w:val="425153"/>
        </w:rPr>
        <w:t> </w:t>
      </w:r>
      <w:r w:rsidRPr="02C1C5E2">
        <w:rPr>
          <w:color w:val="425153"/>
        </w:rPr>
        <w:t>Zdraví &amp; Krása (-5 %). Dále následovala Elektronika s již dlouhodobě fungující online platform</w:t>
      </w:r>
      <w:r>
        <w:rPr>
          <w:color w:val="425153"/>
        </w:rPr>
        <w:t>o</w:t>
      </w:r>
      <w:r w:rsidRPr="02C1C5E2">
        <w:rPr>
          <w:color w:val="425153"/>
        </w:rPr>
        <w:t xml:space="preserve">u, která si v obou letech udržela jeden z nejnižších poklesů. Zatímco v roce 2020 dosahovaly lepších </w:t>
      </w:r>
      <w:r w:rsidRPr="02C1C5E2">
        <w:rPr>
          <w:color w:val="425153"/>
        </w:rPr>
        <w:lastRenderedPageBreak/>
        <w:t>výsledků velkoplošní operátoři, v roce 2021 byl pokles pouhých 14 % vůči roku 2019 poháněn menšími prodejnami se specializovanou elektronikou</w:t>
      </w:r>
      <w:r>
        <w:rPr>
          <w:color w:val="425153"/>
        </w:rPr>
        <w:t xml:space="preserve"> (</w:t>
      </w:r>
      <w:r>
        <w:t>obchody typu</w:t>
      </w:r>
      <w:r w:rsidR="001607B0">
        <w:rPr>
          <w:color w:val="425153"/>
        </w:rPr>
        <w:t xml:space="preserve"> </w:t>
      </w:r>
      <w:proofErr w:type="spellStart"/>
      <w:r w:rsidR="001607B0">
        <w:rPr>
          <w:color w:val="425153"/>
        </w:rPr>
        <w:t>iStores</w:t>
      </w:r>
      <w:proofErr w:type="spellEnd"/>
      <w:r w:rsidR="001607B0">
        <w:rPr>
          <w:color w:val="425153"/>
        </w:rPr>
        <w:t xml:space="preserve">, </w:t>
      </w:r>
      <w:proofErr w:type="spellStart"/>
      <w:r w:rsidR="001607B0">
        <w:rPr>
          <w:color w:val="425153"/>
        </w:rPr>
        <w:t>Xiaomi</w:t>
      </w:r>
      <w:proofErr w:type="spellEnd"/>
      <w:r w:rsidR="001607B0">
        <w:rPr>
          <w:color w:val="425153"/>
        </w:rPr>
        <w:t xml:space="preserve"> či ETA</w:t>
      </w:r>
      <w:r>
        <w:rPr>
          <w:color w:val="425153"/>
        </w:rPr>
        <w:t>)</w:t>
      </w:r>
      <w:r w:rsidRPr="02C1C5E2">
        <w:rPr>
          <w:color w:val="425153"/>
        </w:rPr>
        <w:t xml:space="preserve">.  </w:t>
      </w:r>
    </w:p>
    <w:p w14:paraId="7898D144" w14:textId="77777777" w:rsidR="002C5CA1" w:rsidRDefault="002C5CA1" w:rsidP="00784D2C">
      <w:pPr>
        <w:pStyle w:val="BodyCopy"/>
        <w:jc w:val="both"/>
      </w:pPr>
    </w:p>
    <w:p w14:paraId="19A10555" w14:textId="2EFAC141" w:rsidR="002C5CA1" w:rsidRDefault="002C5CA1" w:rsidP="00784D2C">
      <w:pPr>
        <w:pStyle w:val="BodyCopy"/>
        <w:jc w:val="both"/>
        <w:rPr>
          <w:color w:val="425153"/>
        </w:rPr>
      </w:pPr>
      <w:r w:rsidRPr="02C1C5E2">
        <w:rPr>
          <w:color w:val="425153"/>
        </w:rPr>
        <w:t>Největší zotavení oproti roku 2020 pocítil</w:t>
      </w:r>
      <w:r w:rsidR="00034D71">
        <w:rPr>
          <w:color w:val="425153"/>
        </w:rPr>
        <w:t>y</w:t>
      </w:r>
      <w:r w:rsidRPr="02C1C5E2">
        <w:rPr>
          <w:color w:val="425153"/>
        </w:rPr>
        <w:t xml:space="preserve"> sektor</w:t>
      </w:r>
      <w:r>
        <w:rPr>
          <w:color w:val="425153"/>
        </w:rPr>
        <w:t>y</w:t>
      </w:r>
      <w:r w:rsidRPr="02C1C5E2">
        <w:rPr>
          <w:color w:val="425153"/>
        </w:rPr>
        <w:t xml:space="preserve"> Gastronomie a </w:t>
      </w:r>
      <w:r>
        <w:rPr>
          <w:color w:val="425153"/>
        </w:rPr>
        <w:t>S</w:t>
      </w:r>
      <w:r w:rsidRPr="02C1C5E2">
        <w:rPr>
          <w:color w:val="425153"/>
        </w:rPr>
        <w:t>lužeb, kter</w:t>
      </w:r>
      <w:r>
        <w:rPr>
          <w:color w:val="425153"/>
        </w:rPr>
        <w:t>é</w:t>
      </w:r>
      <w:r w:rsidRPr="02C1C5E2">
        <w:rPr>
          <w:color w:val="425153"/>
        </w:rPr>
        <w:t xml:space="preserve"> byl</w:t>
      </w:r>
      <w:r>
        <w:rPr>
          <w:color w:val="425153"/>
        </w:rPr>
        <w:t>y</w:t>
      </w:r>
      <w:r w:rsidRPr="02C1C5E2">
        <w:rPr>
          <w:color w:val="425153"/>
        </w:rPr>
        <w:t xml:space="preserve"> společně s volnočasovými aktivitami zásadně ovlivněn</w:t>
      </w:r>
      <w:r>
        <w:rPr>
          <w:color w:val="425153"/>
        </w:rPr>
        <w:t>y</w:t>
      </w:r>
      <w:r w:rsidRPr="02C1C5E2">
        <w:rPr>
          <w:color w:val="425153"/>
        </w:rPr>
        <w:t xml:space="preserve"> ochrannými opatřeními i</w:t>
      </w:r>
      <w:r>
        <w:rPr>
          <w:color w:val="425153"/>
        </w:rPr>
        <w:t xml:space="preserve"> </w:t>
      </w:r>
      <w:r w:rsidRPr="02C1C5E2">
        <w:rPr>
          <w:color w:val="425153"/>
        </w:rPr>
        <w:t xml:space="preserve">po znovuotevření provozu. </w:t>
      </w:r>
    </w:p>
    <w:p w14:paraId="51564972" w14:textId="2BA0783A" w:rsidR="002C5CA1" w:rsidRDefault="002C5CA1" w:rsidP="00784D2C">
      <w:pPr>
        <w:pStyle w:val="BodyCopy"/>
        <w:jc w:val="both"/>
      </w:pPr>
      <w:r w:rsidRPr="02C1C5E2">
        <w:rPr>
          <w:color w:val="425153"/>
        </w:rPr>
        <w:t>Gastronomii, která byla nejdynamičtěji rostoucím segmentem v</w:t>
      </w:r>
      <w:r>
        <w:rPr>
          <w:color w:val="425153"/>
        </w:rPr>
        <w:t> </w:t>
      </w:r>
      <w:proofErr w:type="spellStart"/>
      <w:r w:rsidRPr="02C1C5E2">
        <w:rPr>
          <w:color w:val="425153"/>
        </w:rPr>
        <w:t>předpandemickém</w:t>
      </w:r>
      <w:proofErr w:type="spellEnd"/>
      <w:r w:rsidRPr="02C1C5E2">
        <w:rPr>
          <w:color w:val="425153"/>
        </w:rPr>
        <w:t xml:space="preserve"> období, a která zaznamenala nárůst </w:t>
      </w:r>
      <w:r>
        <w:rPr>
          <w:color w:val="425153"/>
        </w:rPr>
        <w:t xml:space="preserve">tržeb </w:t>
      </w:r>
      <w:r w:rsidRPr="02C1C5E2">
        <w:rPr>
          <w:color w:val="425153"/>
        </w:rPr>
        <w:t>z -35 % v roce 2020 na -17 % v roce 2021 (při srovnání s rokem 2019), pozitivně ovlivnil</w:t>
      </w:r>
      <w:r>
        <w:rPr>
          <w:color w:val="425153"/>
        </w:rPr>
        <w:t>i</w:t>
      </w:r>
      <w:r w:rsidRPr="02C1C5E2">
        <w:rPr>
          <w:color w:val="425153"/>
        </w:rPr>
        <w:t xml:space="preserve"> především </w:t>
      </w:r>
      <w:proofErr w:type="spellStart"/>
      <w:r w:rsidRPr="02C1C5E2">
        <w:rPr>
          <w:color w:val="425153"/>
        </w:rPr>
        <w:t>fastfoodoví</w:t>
      </w:r>
      <w:proofErr w:type="spellEnd"/>
      <w:r w:rsidRPr="02C1C5E2">
        <w:rPr>
          <w:color w:val="425153"/>
        </w:rPr>
        <w:t xml:space="preserve"> operátoři. Ti </w:t>
      </w:r>
      <w:r>
        <w:rPr>
          <w:color w:val="425153"/>
        </w:rPr>
        <w:t xml:space="preserve">v reakci na vládní omezení </w:t>
      </w:r>
      <w:r w:rsidRPr="02C1C5E2">
        <w:rPr>
          <w:color w:val="425153"/>
        </w:rPr>
        <w:t>zavedli výdejová okénka a začali plošněji nabízet rozvoz svého občerstvení. Velmi dobrých výsledků dosahovaly také</w:t>
      </w:r>
      <w:r w:rsidR="0055626C">
        <w:rPr>
          <w:color w:val="425153"/>
        </w:rPr>
        <w:t> </w:t>
      </w:r>
      <w:r w:rsidRPr="02C1C5E2">
        <w:rPr>
          <w:color w:val="425153"/>
        </w:rPr>
        <w:t xml:space="preserve">restaurace s možností drive-in.  </w:t>
      </w:r>
    </w:p>
    <w:p w14:paraId="764C83C3" w14:textId="77777777" w:rsidR="002C5CA1" w:rsidRDefault="002C5CA1" w:rsidP="00784D2C">
      <w:pPr>
        <w:pStyle w:val="BodyCopy"/>
        <w:jc w:val="both"/>
        <w:rPr>
          <w:color w:val="425153"/>
        </w:rPr>
      </w:pPr>
    </w:p>
    <w:p w14:paraId="7067B883" w14:textId="2B0FB144" w:rsidR="002C5CA1" w:rsidRDefault="002C5CA1" w:rsidP="00784D2C">
      <w:pPr>
        <w:pStyle w:val="BodyCopy"/>
        <w:jc w:val="both"/>
      </w:pPr>
      <w:r w:rsidRPr="02C1C5E2">
        <w:rPr>
          <w:color w:val="425153"/>
        </w:rPr>
        <w:t>Sektory Módy, Doplňků a Sportu se i přes značné zotavení pohybovaly ve výsledku celého roku 2021 pod hranicí poklesu 20 % v porovnání s rokem 2019. U módy se nejlépe dařilo nabídce pro mladé s</w:t>
      </w:r>
      <w:r>
        <w:rPr>
          <w:color w:val="425153"/>
        </w:rPr>
        <w:t xml:space="preserve"> propadem </w:t>
      </w:r>
      <w:r w:rsidRPr="02C1C5E2">
        <w:rPr>
          <w:color w:val="425153"/>
        </w:rPr>
        <w:t>cca -10 % a prodejům spodního prádla s -17 %. Jen nepatrné zlepšení a celkový pokles téměř 40 % zaznamena</w:t>
      </w:r>
      <w:r>
        <w:rPr>
          <w:color w:val="425153"/>
        </w:rPr>
        <w:t>la dámská móda, u níž</w:t>
      </w:r>
      <w:r w:rsidRPr="02C1C5E2">
        <w:rPr>
          <w:color w:val="425153"/>
        </w:rPr>
        <w:t xml:space="preserve"> CB</w:t>
      </w:r>
      <w:r>
        <w:rPr>
          <w:color w:val="425153"/>
        </w:rPr>
        <w:t xml:space="preserve">RE </w:t>
      </w:r>
      <w:r w:rsidR="004C5F4E">
        <w:rPr>
          <w:color w:val="425153"/>
        </w:rPr>
        <w:t>evidovala</w:t>
      </w:r>
      <w:r>
        <w:rPr>
          <w:color w:val="425153"/>
        </w:rPr>
        <w:t xml:space="preserve"> již několik značek odcházejících z </w:t>
      </w:r>
      <w:r w:rsidRPr="02C1C5E2">
        <w:rPr>
          <w:color w:val="425153"/>
        </w:rPr>
        <w:t>českého trhu</w:t>
      </w:r>
      <w:r>
        <w:rPr>
          <w:color w:val="425153"/>
        </w:rPr>
        <w:t>.</w:t>
      </w:r>
      <w:r w:rsidRPr="02C1C5E2">
        <w:rPr>
          <w:color w:val="425153"/>
        </w:rPr>
        <w:t xml:space="preserve"> Značný rozdíl zaznamenal sektor Sportu při srovnání velkoformátových operátorů </w:t>
      </w:r>
      <w:r>
        <w:rPr>
          <w:color w:val="425153"/>
        </w:rPr>
        <w:t>(</w:t>
      </w:r>
      <w:r w:rsidRPr="02C1C5E2">
        <w:rPr>
          <w:color w:val="425153"/>
        </w:rPr>
        <w:t>se</w:t>
      </w:r>
      <w:r w:rsidR="0055626C">
        <w:rPr>
          <w:color w:val="425153"/>
        </w:rPr>
        <w:t> </w:t>
      </w:r>
      <w:r w:rsidRPr="02C1C5E2">
        <w:rPr>
          <w:color w:val="425153"/>
        </w:rPr>
        <w:t>zastoupením sortimentu sportovního vybavení</w:t>
      </w:r>
      <w:r>
        <w:rPr>
          <w:color w:val="425153"/>
        </w:rPr>
        <w:t>)</w:t>
      </w:r>
      <w:r w:rsidRPr="02C1C5E2">
        <w:rPr>
          <w:color w:val="425153"/>
        </w:rPr>
        <w:t xml:space="preserve"> </w:t>
      </w:r>
      <w:r>
        <w:rPr>
          <w:color w:val="425153"/>
        </w:rPr>
        <w:t>s</w:t>
      </w:r>
      <w:r w:rsidRPr="02C1C5E2">
        <w:rPr>
          <w:color w:val="425153"/>
        </w:rPr>
        <w:t xml:space="preserve"> menší</w:t>
      </w:r>
      <w:r>
        <w:rPr>
          <w:color w:val="425153"/>
        </w:rPr>
        <w:t>mi</w:t>
      </w:r>
      <w:r w:rsidRPr="02C1C5E2">
        <w:rPr>
          <w:color w:val="425153"/>
        </w:rPr>
        <w:t xml:space="preserve"> prodej</w:t>
      </w:r>
      <w:r>
        <w:rPr>
          <w:color w:val="425153"/>
        </w:rPr>
        <w:t>nami</w:t>
      </w:r>
      <w:r w:rsidRPr="02C1C5E2">
        <w:rPr>
          <w:color w:val="425153"/>
        </w:rPr>
        <w:t xml:space="preserve"> </w:t>
      </w:r>
      <w:r>
        <w:rPr>
          <w:color w:val="425153"/>
        </w:rPr>
        <w:t>(</w:t>
      </w:r>
      <w:r w:rsidRPr="02C1C5E2">
        <w:rPr>
          <w:color w:val="425153"/>
        </w:rPr>
        <w:t>s převahou sportovního oblečení a doplňků</w:t>
      </w:r>
      <w:r>
        <w:rPr>
          <w:color w:val="425153"/>
        </w:rPr>
        <w:t>). U prvně</w:t>
      </w:r>
      <w:r w:rsidRPr="02C1C5E2">
        <w:rPr>
          <w:color w:val="425153"/>
        </w:rPr>
        <w:t xml:space="preserve"> jmenovaného došlo oproti roku 2019 ke zlepšení z -28 % na -14 %, u</w:t>
      </w:r>
      <w:r w:rsidR="0055626C">
        <w:rPr>
          <w:color w:val="425153"/>
        </w:rPr>
        <w:t> </w:t>
      </w:r>
      <w:r w:rsidRPr="02C1C5E2">
        <w:rPr>
          <w:color w:val="425153"/>
        </w:rPr>
        <w:t>druhého pouze z -33 % na -27 %.</w:t>
      </w:r>
    </w:p>
    <w:p w14:paraId="561E705A" w14:textId="77777777" w:rsidR="002C5CA1" w:rsidRDefault="002C5CA1" w:rsidP="00784D2C">
      <w:pPr>
        <w:pStyle w:val="BodyCopy"/>
        <w:jc w:val="both"/>
      </w:pPr>
    </w:p>
    <w:p w14:paraId="68C902C9" w14:textId="385CA27A" w:rsidR="002C5CA1" w:rsidRDefault="002C5CA1" w:rsidP="00784D2C">
      <w:pPr>
        <w:pStyle w:val="BodyCopy"/>
        <w:jc w:val="both"/>
        <w:rPr>
          <w:b/>
          <w:bCs/>
          <w:color w:val="425153"/>
        </w:rPr>
      </w:pPr>
      <w:r w:rsidRPr="02C1C5E2">
        <w:rPr>
          <w:b/>
          <w:bCs/>
          <w:color w:val="425153"/>
        </w:rPr>
        <w:t>Průměrné nájemné vzrostlo o cca 1 %</w:t>
      </w:r>
    </w:p>
    <w:p w14:paraId="027CCDE9" w14:textId="5206C0A6" w:rsidR="002C5CA1" w:rsidRDefault="002C5CA1" w:rsidP="00784D2C">
      <w:pPr>
        <w:pStyle w:val="BodyCopy"/>
        <w:jc w:val="both"/>
      </w:pPr>
      <w:r w:rsidRPr="02C1C5E2">
        <w:rPr>
          <w:color w:val="425153"/>
        </w:rPr>
        <w:t>Neobsazenost regionálních nákupních center zůstala v meziročním srovnání téměř neměnná a činila 4,4 %. Díky pokračujícím vládním kompenzačním programům a úlevám ze strany majitelů nákupních center nedošlo v roce 2021 k významné korekci průměrného nájemného, které naopak vůči roku 2020 vzrostlo o necelé 1 %. Nicméně při zohlednění indexace, která podle ČSÚ činila 3,</w:t>
      </w:r>
      <w:r>
        <w:rPr>
          <w:color w:val="425153"/>
        </w:rPr>
        <w:t>2</w:t>
      </w:r>
      <w:r w:rsidRPr="02C1C5E2">
        <w:rPr>
          <w:color w:val="425153"/>
        </w:rPr>
        <w:t> %, vyplývá, že</w:t>
      </w:r>
      <w:r w:rsidR="0055626C">
        <w:rPr>
          <w:color w:val="425153"/>
        </w:rPr>
        <w:t> </w:t>
      </w:r>
      <w:r w:rsidRPr="02C1C5E2">
        <w:rPr>
          <w:color w:val="425153"/>
        </w:rPr>
        <w:t xml:space="preserve">průměrná výše nájmu nově pronajatých prostor meziročně poklesla o více než </w:t>
      </w:r>
      <w:r>
        <w:rPr>
          <w:color w:val="425153"/>
        </w:rPr>
        <w:t>8</w:t>
      </w:r>
      <w:r w:rsidRPr="02C1C5E2">
        <w:rPr>
          <w:color w:val="425153"/>
        </w:rPr>
        <w:t xml:space="preserve"> %. </w:t>
      </w:r>
    </w:p>
    <w:p w14:paraId="08F424E9" w14:textId="77777777" w:rsidR="002C5CA1" w:rsidRDefault="002C5CA1" w:rsidP="00784D2C">
      <w:pPr>
        <w:pStyle w:val="BodyCopy"/>
        <w:jc w:val="both"/>
      </w:pPr>
    </w:p>
    <w:p w14:paraId="1938BA25" w14:textId="37A5CA20" w:rsidR="002C5CA1" w:rsidRDefault="002C5CA1" w:rsidP="00784D2C">
      <w:pPr>
        <w:pStyle w:val="BodyCopy"/>
        <w:jc w:val="both"/>
      </w:pPr>
      <w:r w:rsidRPr="02C1C5E2">
        <w:rPr>
          <w:color w:val="425153"/>
        </w:rPr>
        <w:t>Nejvyšší a zároveň pokračující růst nájemného, které v roce 2021 vzrostlo o 6 % meziročně a 11 % v porovnání s rokem 2019, zaznamenal sektor elekroniky. Jeho hlavním motorem byly tzv. „step-up“ nájmy (</w:t>
      </w:r>
      <w:r>
        <w:rPr>
          <w:color w:val="425153"/>
        </w:rPr>
        <w:t xml:space="preserve">které se postupem času </w:t>
      </w:r>
      <w:r w:rsidRPr="02C1C5E2">
        <w:rPr>
          <w:color w:val="425153"/>
        </w:rPr>
        <w:t>navyšují) u obchodů se specializovanou elektronikou. Velmi častým znakem byla optimalizace ploch a pobočkové sítě u jednotlivých operátorů. Efekt změny plochy měl do</w:t>
      </w:r>
      <w:r w:rsidR="0055626C">
        <w:rPr>
          <w:color w:val="425153"/>
        </w:rPr>
        <w:t> </w:t>
      </w:r>
      <w:r w:rsidRPr="02C1C5E2">
        <w:rPr>
          <w:color w:val="425153"/>
        </w:rPr>
        <w:t xml:space="preserve">značné míry vliv na korekci nájmů v sektoru Služeb, kde došlo k meziročnímu navýšení průměrného nájmu o 4 %, avšak průměrná velikost jednotky poklesla o 4 %. Naopak v sektoru Vybavení domácnosti &amp; Nábytek průměrný nájem poklesl o 3 %, ale průměrná plocha jednotky vzrostla o 8 %. </w:t>
      </w:r>
    </w:p>
    <w:p w14:paraId="3049CA17" w14:textId="77777777" w:rsidR="002C5CA1" w:rsidRDefault="002C5CA1" w:rsidP="00784D2C">
      <w:pPr>
        <w:pStyle w:val="BodyCopy"/>
        <w:jc w:val="both"/>
      </w:pPr>
    </w:p>
    <w:p w14:paraId="19DAA8D7" w14:textId="3F0FB43E" w:rsidR="002C5CA1" w:rsidRDefault="002C5CA1" w:rsidP="00784D2C">
      <w:pPr>
        <w:pStyle w:val="BodyCopy"/>
        <w:jc w:val="both"/>
      </w:pPr>
      <w:r w:rsidRPr="02C1C5E2">
        <w:rPr>
          <w:color w:val="425153"/>
        </w:rPr>
        <w:t>Nejvyšší dynamiku růstu průměrného nájemného opět vykazovaly nejmenší jednotky do 100 m</w:t>
      </w:r>
      <w:r w:rsidRPr="02C1C5E2">
        <w:rPr>
          <w:color w:val="425153"/>
          <w:vertAlign w:val="superscript"/>
        </w:rPr>
        <w:t>2</w:t>
      </w:r>
      <w:r w:rsidRPr="02C1C5E2">
        <w:rPr>
          <w:color w:val="425153"/>
        </w:rPr>
        <w:t>, a</w:t>
      </w:r>
      <w:r w:rsidR="0055626C">
        <w:rPr>
          <w:color w:val="425153"/>
        </w:rPr>
        <w:t> </w:t>
      </w:r>
      <w:r w:rsidRPr="02C1C5E2">
        <w:rPr>
          <w:color w:val="425153"/>
        </w:rPr>
        <w:t>to</w:t>
      </w:r>
      <w:r w:rsidR="0055626C">
        <w:rPr>
          <w:color w:val="425153"/>
        </w:rPr>
        <w:t> </w:t>
      </w:r>
      <w:r w:rsidRPr="02C1C5E2">
        <w:rPr>
          <w:color w:val="425153"/>
        </w:rPr>
        <w:t>meziročně o 2,9 % (0-50 m</w:t>
      </w:r>
      <w:r w:rsidRPr="02C1C5E2">
        <w:rPr>
          <w:color w:val="425153"/>
          <w:vertAlign w:val="superscript"/>
        </w:rPr>
        <w:t>2</w:t>
      </w:r>
      <w:r w:rsidRPr="02C1C5E2">
        <w:rPr>
          <w:color w:val="425153"/>
        </w:rPr>
        <w:t>) a 1,9 % (50-100 m</w:t>
      </w:r>
      <w:r w:rsidRPr="02C1C5E2">
        <w:rPr>
          <w:color w:val="425153"/>
          <w:vertAlign w:val="superscript"/>
        </w:rPr>
        <w:t>2</w:t>
      </w:r>
      <w:r w:rsidRPr="02C1C5E2">
        <w:rPr>
          <w:color w:val="425153"/>
        </w:rPr>
        <w:t>). V meziročním srovnání s rokem 2020 nedošlo k</w:t>
      </w:r>
      <w:r>
        <w:rPr>
          <w:color w:val="425153"/>
        </w:rPr>
        <w:t> poklesu průměrného nájemného u</w:t>
      </w:r>
      <w:r w:rsidRPr="02C1C5E2">
        <w:rPr>
          <w:color w:val="425153"/>
        </w:rPr>
        <w:t xml:space="preserve"> os</w:t>
      </w:r>
      <w:r>
        <w:rPr>
          <w:color w:val="425153"/>
        </w:rPr>
        <w:t>tatních velikostních kategorií</w:t>
      </w:r>
      <w:r w:rsidRPr="02C1C5E2">
        <w:rPr>
          <w:color w:val="425153"/>
        </w:rPr>
        <w:t xml:space="preserve"> nad 100 m</w:t>
      </w:r>
      <w:r w:rsidRPr="02C1C5E2">
        <w:rPr>
          <w:color w:val="425153"/>
          <w:vertAlign w:val="superscript"/>
        </w:rPr>
        <w:t>2</w:t>
      </w:r>
      <w:r w:rsidRPr="02C1C5E2">
        <w:rPr>
          <w:color w:val="425153"/>
        </w:rPr>
        <w:t xml:space="preserve">, nicméně výrazný pokles způsobený opakovaným omezením maloobchodu na konci roku 2020 poznamenal úroveň nájmů tak, že výsledné hodnoty v roce 2021 byly stále pod hladinou roku 2019. </w:t>
      </w:r>
    </w:p>
    <w:p w14:paraId="748BFF14" w14:textId="77777777" w:rsidR="002C5CA1" w:rsidRDefault="002C5CA1" w:rsidP="00784D2C">
      <w:pPr>
        <w:pStyle w:val="BodyCopy"/>
        <w:jc w:val="both"/>
      </w:pPr>
    </w:p>
    <w:p w14:paraId="39C5A8F3" w14:textId="2574B686" w:rsidR="002C5CA1" w:rsidRDefault="002C5CA1" w:rsidP="00784D2C">
      <w:pPr>
        <w:pStyle w:val="BodyCopy"/>
        <w:jc w:val="both"/>
        <w:rPr>
          <w:b/>
          <w:bCs/>
          <w:color w:val="425153"/>
        </w:rPr>
      </w:pPr>
      <w:r w:rsidRPr="02C1C5E2">
        <w:rPr>
          <w:b/>
          <w:bCs/>
          <w:color w:val="425153"/>
        </w:rPr>
        <w:t xml:space="preserve">Celkový maloobchodní prodej v </w:t>
      </w:r>
      <w:proofErr w:type="spellStart"/>
      <w:r w:rsidRPr="02C1C5E2">
        <w:rPr>
          <w:b/>
          <w:bCs/>
          <w:color w:val="425153"/>
        </w:rPr>
        <w:t>covidových</w:t>
      </w:r>
      <w:proofErr w:type="spellEnd"/>
      <w:r w:rsidRPr="02C1C5E2">
        <w:rPr>
          <w:b/>
          <w:bCs/>
          <w:color w:val="425153"/>
        </w:rPr>
        <w:t xml:space="preserve"> letech v</w:t>
      </w:r>
      <w:r w:rsidR="00C32301">
        <w:rPr>
          <w:b/>
          <w:bCs/>
          <w:color w:val="425153"/>
        </w:rPr>
        <w:t>z</w:t>
      </w:r>
      <w:r w:rsidRPr="02C1C5E2">
        <w:rPr>
          <w:b/>
          <w:bCs/>
          <w:color w:val="425153"/>
        </w:rPr>
        <w:t>rostl. I díky e-</w:t>
      </w:r>
      <w:proofErr w:type="spellStart"/>
      <w:r w:rsidRPr="02C1C5E2">
        <w:rPr>
          <w:b/>
          <w:bCs/>
          <w:color w:val="425153"/>
        </w:rPr>
        <w:t>shopům</w:t>
      </w:r>
      <w:proofErr w:type="spellEnd"/>
    </w:p>
    <w:p w14:paraId="6F5B19C2" w14:textId="4531B965" w:rsidR="00585175" w:rsidRPr="00EB4BC0" w:rsidRDefault="002C5CA1" w:rsidP="00784D2C">
      <w:pPr>
        <w:jc w:val="both"/>
        <w:rPr>
          <w:color w:val="425153"/>
        </w:rPr>
      </w:pPr>
      <w:r w:rsidRPr="02C1C5E2">
        <w:rPr>
          <w:color w:val="425153"/>
        </w:rPr>
        <w:t xml:space="preserve">Stále sílící kupní síla obyvatelstva byla v posledních letech do značné míry vynakládána </w:t>
      </w:r>
      <w:r>
        <w:rPr>
          <w:color w:val="425153"/>
        </w:rPr>
        <w:t xml:space="preserve">právě </w:t>
      </w:r>
      <w:r w:rsidRPr="02C1C5E2">
        <w:rPr>
          <w:color w:val="425153"/>
        </w:rPr>
        <w:t>na</w:t>
      </w:r>
      <w:r w:rsidR="0055626C">
        <w:rPr>
          <w:color w:val="425153"/>
        </w:rPr>
        <w:t> </w:t>
      </w:r>
      <w:r w:rsidRPr="02C1C5E2">
        <w:rPr>
          <w:color w:val="425153"/>
        </w:rPr>
        <w:t>maloobchod. Celkový maloobchodní prodej v roce 2020 vzrostl</w:t>
      </w:r>
      <w:r>
        <w:rPr>
          <w:color w:val="425153"/>
        </w:rPr>
        <w:t xml:space="preserve"> meziročně</w:t>
      </w:r>
      <w:r w:rsidRPr="02C1C5E2">
        <w:rPr>
          <w:color w:val="425153"/>
        </w:rPr>
        <w:t xml:space="preserve"> o 0,1 %, přičemž vloni již</w:t>
      </w:r>
      <w:r w:rsidR="0055626C">
        <w:rPr>
          <w:color w:val="425153"/>
        </w:rPr>
        <w:t> </w:t>
      </w:r>
      <w:r w:rsidRPr="02C1C5E2">
        <w:rPr>
          <w:color w:val="425153"/>
        </w:rPr>
        <w:t xml:space="preserve">o 4,5 %. </w:t>
      </w:r>
      <w:r>
        <w:rPr>
          <w:color w:val="425153"/>
        </w:rPr>
        <w:t>B</w:t>
      </w:r>
      <w:r w:rsidRPr="02C1C5E2">
        <w:rPr>
          <w:color w:val="425153"/>
        </w:rPr>
        <w:t xml:space="preserve">ěhem </w:t>
      </w:r>
      <w:proofErr w:type="spellStart"/>
      <w:r w:rsidRPr="02C1C5E2">
        <w:rPr>
          <w:color w:val="425153"/>
        </w:rPr>
        <w:t>lockdownů</w:t>
      </w:r>
      <w:proofErr w:type="spellEnd"/>
      <w:r w:rsidRPr="02C1C5E2">
        <w:rPr>
          <w:color w:val="425153"/>
        </w:rPr>
        <w:t xml:space="preserve"> se </w:t>
      </w:r>
      <w:r>
        <w:rPr>
          <w:color w:val="425153"/>
        </w:rPr>
        <w:t xml:space="preserve">však </w:t>
      </w:r>
      <w:r w:rsidRPr="02C1C5E2">
        <w:rPr>
          <w:color w:val="425153"/>
        </w:rPr>
        <w:t xml:space="preserve">nákupy přesunuly především do online prostředí. V meziročním úhrnu díky tomu online vzrostl o 27,3 % v roce 2020 a </w:t>
      </w:r>
      <w:r>
        <w:rPr>
          <w:color w:val="425153"/>
        </w:rPr>
        <w:t xml:space="preserve">o </w:t>
      </w:r>
      <w:r w:rsidRPr="02C1C5E2">
        <w:rPr>
          <w:color w:val="425153"/>
        </w:rPr>
        <w:t>15,7 % v roce 2021.</w:t>
      </w:r>
      <w:r>
        <w:rPr>
          <w:color w:val="425153"/>
        </w:rPr>
        <w:t xml:space="preserve"> </w:t>
      </w:r>
      <w:r w:rsidR="7110F824" w:rsidRPr="02C1C5E2">
        <w:rPr>
          <w:color w:val="425153"/>
        </w:rPr>
        <w:t>Dokládá to i aktuální průzkum CBRE mezi maloobchodníky. Zatímco v roce 2019 generovalo 13 % dotazovaných značek v</w:t>
      </w:r>
      <w:r w:rsidR="0055626C">
        <w:rPr>
          <w:color w:val="425153"/>
        </w:rPr>
        <w:t> </w:t>
      </w:r>
      <w:r w:rsidR="7110F824" w:rsidRPr="02C1C5E2">
        <w:rPr>
          <w:color w:val="425153"/>
        </w:rPr>
        <w:t xml:space="preserve">online prostředí 21-30 % svých celkových tržeb, tak </w:t>
      </w:r>
      <w:r w:rsidR="002F2B5C">
        <w:rPr>
          <w:color w:val="425153"/>
        </w:rPr>
        <w:t>v současné době to je 32</w:t>
      </w:r>
      <w:r w:rsidR="7110F824" w:rsidRPr="02C1C5E2">
        <w:rPr>
          <w:color w:val="425153"/>
        </w:rPr>
        <w:t xml:space="preserve"> %. Ještě markantnější rozdíl přitom </w:t>
      </w:r>
      <w:r w:rsidR="002F2B5C">
        <w:rPr>
          <w:color w:val="425153"/>
        </w:rPr>
        <w:t>můžeme</w:t>
      </w:r>
      <w:r w:rsidR="7110F824" w:rsidRPr="02C1C5E2">
        <w:rPr>
          <w:color w:val="425153"/>
        </w:rPr>
        <w:t xml:space="preserve"> sledovat u obchodníků, u nichž tvoří příjmy z e-</w:t>
      </w:r>
      <w:proofErr w:type="spellStart"/>
      <w:r w:rsidR="7110F824" w:rsidRPr="02C1C5E2">
        <w:rPr>
          <w:color w:val="425153"/>
        </w:rPr>
        <w:t>shopů</w:t>
      </w:r>
      <w:proofErr w:type="spellEnd"/>
      <w:r w:rsidR="7110F824" w:rsidRPr="02C1C5E2">
        <w:rPr>
          <w:color w:val="425153"/>
        </w:rPr>
        <w:t xml:space="preserve"> na celkových tržbách 31-40% podíl. Před rokem 2020 takové úrovně nedosahovala žádná z dotazovaných firem, letos již 1</w:t>
      </w:r>
      <w:r w:rsidR="002F2B5C">
        <w:rPr>
          <w:color w:val="425153"/>
        </w:rPr>
        <w:t>6</w:t>
      </w:r>
      <w:r w:rsidR="7110F824" w:rsidRPr="02C1C5E2">
        <w:rPr>
          <w:color w:val="425153"/>
        </w:rPr>
        <w:t xml:space="preserve"> %.</w:t>
      </w:r>
      <w:r w:rsidR="00C43BB0">
        <w:rPr>
          <w:color w:val="425153"/>
        </w:rPr>
        <w:t xml:space="preserve"> </w:t>
      </w:r>
      <w:r w:rsidR="00585175" w:rsidRPr="00EB4BC0">
        <w:rPr>
          <w:color w:val="425153"/>
        </w:rPr>
        <w:t>V</w:t>
      </w:r>
      <w:r w:rsidR="0055626C">
        <w:rPr>
          <w:color w:val="425153"/>
        </w:rPr>
        <w:t> </w:t>
      </w:r>
      <w:r w:rsidR="00585175" w:rsidRPr="00EB4BC0">
        <w:rPr>
          <w:color w:val="425153"/>
        </w:rPr>
        <w:t xml:space="preserve">tomto kontextu vyznívá zajímavě srovnání s regionem EMEA. V rámci průzkumu CBRE uvedlo pouze 19 % tamních </w:t>
      </w:r>
      <w:proofErr w:type="spellStart"/>
      <w:r w:rsidR="00585175" w:rsidRPr="00EB4BC0">
        <w:rPr>
          <w:color w:val="425153"/>
        </w:rPr>
        <w:t>retailerů</w:t>
      </w:r>
      <w:proofErr w:type="spellEnd"/>
      <w:r w:rsidR="00585175" w:rsidRPr="00EB4BC0">
        <w:rPr>
          <w:color w:val="425153"/>
        </w:rPr>
        <w:t>, že dosahují online tržeb mezi 21–30 % a podíl online tržeb nad 31 % na</w:t>
      </w:r>
      <w:r w:rsidR="0055626C">
        <w:rPr>
          <w:color w:val="425153"/>
        </w:rPr>
        <w:t> </w:t>
      </w:r>
      <w:r w:rsidR="00585175" w:rsidRPr="00EB4BC0">
        <w:rPr>
          <w:color w:val="425153"/>
        </w:rPr>
        <w:t>celkových tržbách zmínila pouze 2 % dotázaných. Tyto výsledk</w:t>
      </w:r>
      <w:r w:rsidR="002E7C8A">
        <w:rPr>
          <w:color w:val="425153"/>
        </w:rPr>
        <w:t>y</w:t>
      </w:r>
      <w:r w:rsidR="00585175" w:rsidRPr="00EB4BC0">
        <w:rPr>
          <w:color w:val="425153"/>
        </w:rPr>
        <w:t xml:space="preserve"> dokreslují skutečnost,</w:t>
      </w:r>
      <w:r w:rsidR="0055626C">
        <w:rPr>
          <w:color w:val="425153"/>
        </w:rPr>
        <w:t xml:space="preserve"> </w:t>
      </w:r>
      <w:r w:rsidR="00585175" w:rsidRPr="00EB4BC0">
        <w:rPr>
          <w:color w:val="425153"/>
        </w:rPr>
        <w:t>že</w:t>
      </w:r>
      <w:r w:rsidR="0055626C">
        <w:rPr>
          <w:color w:val="425153"/>
        </w:rPr>
        <w:t> </w:t>
      </w:r>
      <w:r w:rsidR="00585175" w:rsidRPr="00EB4BC0">
        <w:rPr>
          <w:color w:val="425153"/>
        </w:rPr>
        <w:t>e-</w:t>
      </w:r>
      <w:proofErr w:type="spellStart"/>
      <w:r w:rsidR="00585175" w:rsidRPr="00EB4BC0">
        <w:rPr>
          <w:color w:val="425153"/>
        </w:rPr>
        <w:t>commerce</w:t>
      </w:r>
      <w:proofErr w:type="spellEnd"/>
      <w:r w:rsidR="00585175" w:rsidRPr="00EB4BC0">
        <w:rPr>
          <w:color w:val="425153"/>
        </w:rPr>
        <w:t xml:space="preserve"> platforma v České republice má </w:t>
      </w:r>
      <w:r w:rsidR="000B2630">
        <w:rPr>
          <w:color w:val="425153"/>
        </w:rPr>
        <w:t xml:space="preserve">již </w:t>
      </w:r>
      <w:r w:rsidR="00585175" w:rsidRPr="00EB4BC0">
        <w:rPr>
          <w:color w:val="425153"/>
        </w:rPr>
        <w:t>své pevné místo</w:t>
      </w:r>
      <w:r w:rsidR="002054D4">
        <w:rPr>
          <w:color w:val="425153"/>
        </w:rPr>
        <w:t xml:space="preserve"> </w:t>
      </w:r>
      <w:r w:rsidR="00D4242C">
        <w:rPr>
          <w:color w:val="425153"/>
        </w:rPr>
        <w:t>a</w:t>
      </w:r>
      <w:r w:rsidR="002054D4">
        <w:rPr>
          <w:color w:val="425153"/>
        </w:rPr>
        <w:t> dlouhou tradic</w:t>
      </w:r>
      <w:r w:rsidR="00D4242C">
        <w:rPr>
          <w:color w:val="425153"/>
        </w:rPr>
        <w:t>i</w:t>
      </w:r>
      <w:r w:rsidR="008F09CD">
        <w:rPr>
          <w:color w:val="425153"/>
        </w:rPr>
        <w:t xml:space="preserve">. Navíc </w:t>
      </w:r>
      <w:r w:rsidR="00585175" w:rsidRPr="00EB4BC0">
        <w:rPr>
          <w:color w:val="425153"/>
        </w:rPr>
        <w:t>s příchodem pandemie</w:t>
      </w:r>
      <w:r w:rsidR="00425DDB">
        <w:rPr>
          <w:color w:val="425153"/>
        </w:rPr>
        <w:t xml:space="preserve"> </w:t>
      </w:r>
      <w:r w:rsidR="008F09CD">
        <w:rPr>
          <w:color w:val="425153"/>
        </w:rPr>
        <w:t>tento trend ještě zesílil.</w:t>
      </w:r>
    </w:p>
    <w:p w14:paraId="7CB267DF" w14:textId="77777777" w:rsidR="00D2097E" w:rsidRDefault="00D2097E" w:rsidP="00784D2C">
      <w:pPr>
        <w:pStyle w:val="BodyCopy"/>
        <w:jc w:val="both"/>
        <w:rPr>
          <w:i/>
          <w:iCs/>
          <w:color w:val="425153"/>
        </w:rPr>
      </w:pPr>
    </w:p>
    <w:p w14:paraId="7AD6131F" w14:textId="7B0E085A" w:rsidR="7110F824" w:rsidRPr="00A774DF" w:rsidRDefault="7110F824" w:rsidP="00784D2C">
      <w:pPr>
        <w:pStyle w:val="BodyCopy"/>
        <w:jc w:val="both"/>
        <w:rPr>
          <w:i/>
          <w:iCs/>
          <w:color w:val="425153"/>
        </w:rPr>
      </w:pPr>
      <w:proofErr w:type="gramStart"/>
      <w:r w:rsidRPr="02C1C5E2">
        <w:rPr>
          <w:i/>
          <w:iCs/>
          <w:color w:val="425153"/>
        </w:rPr>
        <w:t>,,Pandemie</w:t>
      </w:r>
      <w:proofErr w:type="gramEnd"/>
      <w:r w:rsidRPr="02C1C5E2">
        <w:rPr>
          <w:i/>
          <w:iCs/>
          <w:color w:val="425153"/>
        </w:rPr>
        <w:t xml:space="preserve"> </w:t>
      </w:r>
      <w:proofErr w:type="spellStart"/>
      <w:r w:rsidRPr="02C1C5E2">
        <w:rPr>
          <w:i/>
          <w:iCs/>
          <w:color w:val="425153"/>
        </w:rPr>
        <w:t>koronaviru</w:t>
      </w:r>
      <w:proofErr w:type="spellEnd"/>
      <w:r w:rsidRPr="02C1C5E2">
        <w:rPr>
          <w:i/>
          <w:iCs/>
          <w:color w:val="425153"/>
        </w:rPr>
        <w:t xml:space="preserve"> změnila nákupní chování zákazníků a donutila </w:t>
      </w:r>
      <w:r w:rsidR="00A774DF">
        <w:rPr>
          <w:i/>
          <w:iCs/>
          <w:color w:val="425153"/>
        </w:rPr>
        <w:t>maloobchodníky</w:t>
      </w:r>
      <w:r w:rsidRPr="02C1C5E2">
        <w:rPr>
          <w:i/>
          <w:iCs/>
          <w:color w:val="425153"/>
        </w:rPr>
        <w:t xml:space="preserve"> optimalizovat </w:t>
      </w:r>
      <w:r w:rsidR="00A774DF" w:rsidRPr="02C1C5E2">
        <w:rPr>
          <w:i/>
          <w:iCs/>
          <w:color w:val="425153"/>
        </w:rPr>
        <w:t>prodejní kanály</w:t>
      </w:r>
      <w:r w:rsidR="00A774DF">
        <w:rPr>
          <w:i/>
          <w:iCs/>
          <w:color w:val="425153"/>
        </w:rPr>
        <w:t xml:space="preserve">, někteří z nich zaváděli i kanály nové. </w:t>
      </w:r>
      <w:r w:rsidRPr="02C1C5E2">
        <w:rPr>
          <w:i/>
          <w:iCs/>
          <w:color w:val="425153"/>
        </w:rPr>
        <w:t xml:space="preserve">Do budoucna bude právě vhodné nastavení </w:t>
      </w:r>
      <w:r w:rsidR="00A774DF">
        <w:rPr>
          <w:i/>
          <w:iCs/>
          <w:color w:val="425153"/>
        </w:rPr>
        <w:t>tzv.</w:t>
      </w:r>
      <w:r w:rsidR="000C2C26">
        <w:rPr>
          <w:i/>
          <w:iCs/>
          <w:color w:val="425153"/>
        </w:rPr>
        <w:t> </w:t>
      </w:r>
      <w:proofErr w:type="spellStart"/>
      <w:r w:rsidRPr="02C1C5E2">
        <w:rPr>
          <w:i/>
          <w:iCs/>
          <w:color w:val="425153"/>
        </w:rPr>
        <w:t>omnichannel</w:t>
      </w:r>
      <w:proofErr w:type="spellEnd"/>
      <w:r w:rsidRPr="02C1C5E2">
        <w:rPr>
          <w:i/>
          <w:iCs/>
          <w:color w:val="425153"/>
        </w:rPr>
        <w:t xml:space="preserve"> strategie</w:t>
      </w:r>
      <w:r w:rsidR="00A774DF">
        <w:rPr>
          <w:i/>
          <w:iCs/>
          <w:color w:val="425153"/>
        </w:rPr>
        <w:t>,</w:t>
      </w:r>
      <w:r w:rsidRPr="02C1C5E2">
        <w:rPr>
          <w:i/>
          <w:iCs/>
          <w:color w:val="425153"/>
        </w:rPr>
        <w:t xml:space="preserve"> kombinující více prodejních a komunikačních kanálů</w:t>
      </w:r>
      <w:r w:rsidR="00A774DF">
        <w:rPr>
          <w:i/>
          <w:iCs/>
          <w:color w:val="425153"/>
        </w:rPr>
        <w:t>,</w:t>
      </w:r>
      <w:r w:rsidRPr="02C1C5E2">
        <w:rPr>
          <w:i/>
          <w:iCs/>
          <w:color w:val="425153"/>
        </w:rPr>
        <w:t xml:space="preserve"> hrát rozhodující roli</w:t>
      </w:r>
      <w:r w:rsidR="02C1C5E2" w:rsidRPr="02C1C5E2">
        <w:rPr>
          <w:i/>
          <w:iCs/>
          <w:color w:val="425153"/>
        </w:rPr>
        <w:t xml:space="preserve"> v</w:t>
      </w:r>
      <w:r w:rsidR="000C2C26">
        <w:rPr>
          <w:i/>
          <w:iCs/>
          <w:color w:val="425153"/>
        </w:rPr>
        <w:t> </w:t>
      </w:r>
      <w:r w:rsidR="02C1C5E2" w:rsidRPr="02C1C5E2">
        <w:rPr>
          <w:i/>
          <w:iCs/>
          <w:color w:val="425153"/>
        </w:rPr>
        <w:t xml:space="preserve">úspěchu,” </w:t>
      </w:r>
      <w:r w:rsidRPr="02C1C5E2">
        <w:rPr>
          <w:color w:val="425153"/>
        </w:rPr>
        <w:t xml:space="preserve">uvádí </w:t>
      </w:r>
      <w:r w:rsidRPr="02C1C5E2">
        <w:rPr>
          <w:b/>
          <w:bCs/>
          <w:color w:val="425153"/>
        </w:rPr>
        <w:t xml:space="preserve">Jan Janáček, vedoucí </w:t>
      </w:r>
      <w:r w:rsidR="0037184B">
        <w:rPr>
          <w:b/>
          <w:bCs/>
          <w:color w:val="425153"/>
        </w:rPr>
        <w:t xml:space="preserve">retail sektoru a </w:t>
      </w:r>
      <w:r w:rsidRPr="02C1C5E2">
        <w:rPr>
          <w:b/>
          <w:bCs/>
          <w:color w:val="425153"/>
        </w:rPr>
        <w:t>oddělení maloobchodních pronájmů v</w:t>
      </w:r>
      <w:r w:rsidR="000C2C26">
        <w:rPr>
          <w:b/>
          <w:bCs/>
          <w:color w:val="425153"/>
        </w:rPr>
        <w:t> </w:t>
      </w:r>
      <w:r w:rsidRPr="02C1C5E2">
        <w:rPr>
          <w:b/>
          <w:bCs/>
          <w:color w:val="425153"/>
        </w:rPr>
        <w:t>CBRE</w:t>
      </w:r>
      <w:r w:rsidRPr="02C1C5E2">
        <w:rPr>
          <w:color w:val="425153"/>
        </w:rPr>
        <w:t xml:space="preserve">, a dále komentuje výsledky aktuálního </w:t>
      </w:r>
      <w:proofErr w:type="gramStart"/>
      <w:r w:rsidRPr="02C1C5E2">
        <w:rPr>
          <w:color w:val="425153"/>
        </w:rPr>
        <w:t xml:space="preserve">průzkumu: </w:t>
      </w:r>
      <w:r w:rsidRPr="02C1C5E2">
        <w:rPr>
          <w:i/>
          <w:iCs/>
          <w:color w:val="425153"/>
        </w:rPr>
        <w:t>,,</w:t>
      </w:r>
      <w:r w:rsidR="02C1C5E2" w:rsidRPr="02C1C5E2">
        <w:rPr>
          <w:i/>
          <w:iCs/>
          <w:color w:val="425153"/>
        </w:rPr>
        <w:t>Budeme</w:t>
      </w:r>
      <w:proofErr w:type="gramEnd"/>
      <w:r w:rsidR="02C1C5E2" w:rsidRPr="02C1C5E2">
        <w:rPr>
          <w:i/>
          <w:iCs/>
          <w:color w:val="425153"/>
        </w:rPr>
        <w:t xml:space="preserve">-li posuzovat </w:t>
      </w:r>
      <w:r w:rsidRPr="02C1C5E2">
        <w:rPr>
          <w:i/>
          <w:iCs/>
          <w:color w:val="425153"/>
        </w:rPr>
        <w:t>tržby generované pouze v kamenných prodejnách bez online tržeb, pak 56 % obchodníků se aktuálně pohybuje někde mezi</w:t>
      </w:r>
      <w:r w:rsidR="000C2C26">
        <w:rPr>
          <w:i/>
          <w:iCs/>
          <w:color w:val="425153"/>
        </w:rPr>
        <w:t> </w:t>
      </w:r>
      <w:r w:rsidRPr="02C1C5E2">
        <w:rPr>
          <w:i/>
          <w:iCs/>
          <w:color w:val="425153"/>
        </w:rPr>
        <w:t xml:space="preserve">100-75 % své původní úrovně před pandemií a 12 % dosahuje </w:t>
      </w:r>
      <w:r w:rsidR="004347E2">
        <w:rPr>
          <w:i/>
          <w:iCs/>
          <w:color w:val="425153"/>
        </w:rPr>
        <w:t xml:space="preserve">dokonce </w:t>
      </w:r>
      <w:r w:rsidRPr="02C1C5E2">
        <w:rPr>
          <w:i/>
          <w:iCs/>
          <w:color w:val="425153"/>
        </w:rPr>
        <w:t xml:space="preserve">vyšších čísel než v roce 2019. Zajímavé je přitom srovnání s regionem EMEA, kde návrat do </w:t>
      </w:r>
      <w:proofErr w:type="spellStart"/>
      <w:r w:rsidRPr="02C1C5E2">
        <w:rPr>
          <w:i/>
          <w:iCs/>
          <w:color w:val="425153"/>
        </w:rPr>
        <w:t>předcovidové</w:t>
      </w:r>
      <w:proofErr w:type="spellEnd"/>
      <w:r w:rsidRPr="02C1C5E2">
        <w:rPr>
          <w:i/>
          <w:iCs/>
          <w:color w:val="425153"/>
        </w:rPr>
        <w:t xml:space="preserve"> kondice probíh</w:t>
      </w:r>
      <w:r w:rsidR="00A774DF">
        <w:rPr>
          <w:i/>
          <w:iCs/>
          <w:color w:val="425153"/>
        </w:rPr>
        <w:t>á o</w:t>
      </w:r>
      <w:r w:rsidR="000C2C26">
        <w:rPr>
          <w:i/>
          <w:iCs/>
          <w:color w:val="425153"/>
        </w:rPr>
        <w:t> </w:t>
      </w:r>
      <w:r w:rsidR="00A774DF">
        <w:rPr>
          <w:i/>
          <w:iCs/>
          <w:color w:val="425153"/>
        </w:rPr>
        <w:t xml:space="preserve">poznání rychleji. </w:t>
      </w:r>
      <w:r w:rsidR="00C62247">
        <w:rPr>
          <w:i/>
          <w:iCs/>
          <w:color w:val="425153"/>
        </w:rPr>
        <w:t>Dohromady</w:t>
      </w:r>
      <w:r w:rsidR="00A774DF">
        <w:rPr>
          <w:i/>
          <w:iCs/>
          <w:color w:val="425153"/>
        </w:rPr>
        <w:t xml:space="preserve"> 36 </w:t>
      </w:r>
      <w:r w:rsidRPr="02C1C5E2">
        <w:rPr>
          <w:i/>
          <w:iCs/>
          <w:color w:val="425153"/>
        </w:rPr>
        <w:t>% značek generuje tržby vyšší než v roce 2019 a 40 % je na úrovni mezi 100 až 75 %. Svůj vliv může mít mimo jiné výrazně vyšší inflace v tuzemsku při srovnání s</w:t>
      </w:r>
      <w:r w:rsidR="000C2C26">
        <w:rPr>
          <w:i/>
          <w:iCs/>
          <w:color w:val="425153"/>
        </w:rPr>
        <w:t> </w:t>
      </w:r>
      <w:r w:rsidRPr="02C1C5E2">
        <w:rPr>
          <w:i/>
          <w:iCs/>
          <w:color w:val="425153"/>
        </w:rPr>
        <w:t>eurozónou.”</w:t>
      </w:r>
      <w:r w:rsidRPr="02C1C5E2">
        <w:rPr>
          <w:color w:val="425153"/>
        </w:rPr>
        <w:t xml:space="preserve"> </w:t>
      </w:r>
    </w:p>
    <w:p w14:paraId="29E59A13" w14:textId="340987C2" w:rsidR="00EB4BC0" w:rsidRDefault="00EB4BC0" w:rsidP="00784D2C">
      <w:pPr>
        <w:pStyle w:val="BodyCopy"/>
        <w:jc w:val="both"/>
        <w:rPr>
          <w:color w:val="425153"/>
          <w:highlight w:val="yellow"/>
        </w:rPr>
      </w:pPr>
    </w:p>
    <w:p w14:paraId="38AEC674" w14:textId="275D1948" w:rsidR="00A774DF" w:rsidRPr="00A774DF" w:rsidRDefault="00A774DF" w:rsidP="00784D2C">
      <w:pPr>
        <w:pStyle w:val="BodyCopy"/>
        <w:jc w:val="both"/>
        <w:rPr>
          <w:b/>
          <w:color w:val="425153"/>
        </w:rPr>
      </w:pPr>
      <w:r>
        <w:rPr>
          <w:b/>
          <w:color w:val="425153"/>
        </w:rPr>
        <w:t xml:space="preserve">Ohrožení budoucnosti: inflace, narušení dodavatelských řetězců </w:t>
      </w:r>
      <w:r w:rsidR="004347E2">
        <w:rPr>
          <w:b/>
          <w:color w:val="425153"/>
        </w:rPr>
        <w:t>nebo růst mezd</w:t>
      </w:r>
    </w:p>
    <w:p w14:paraId="0E4336A9" w14:textId="53426763" w:rsidR="7110F824" w:rsidRDefault="7110F824" w:rsidP="00784D2C">
      <w:pPr>
        <w:pStyle w:val="BodyCopy"/>
        <w:jc w:val="both"/>
        <w:rPr>
          <w:color w:val="425153"/>
        </w:rPr>
      </w:pPr>
      <w:r w:rsidRPr="02C1C5E2">
        <w:rPr>
          <w:color w:val="425153"/>
        </w:rPr>
        <w:t>Dynamický růst inflace a s tím spojenou sníženou kupní sílu zákazníků vnímá většina maloo</w:t>
      </w:r>
      <w:r w:rsidR="00A774DF">
        <w:rPr>
          <w:color w:val="425153"/>
        </w:rPr>
        <w:t>bchodníků (92 % dotázaných</w:t>
      </w:r>
      <w:r w:rsidRPr="02C1C5E2">
        <w:rPr>
          <w:color w:val="425153"/>
        </w:rPr>
        <w:t>) jako nejvýznamnější ohrožení tržeb v blízké budoucnosti. Obavu z narušení dodavatelského řetězce přiznalo více než 50 % respondentů a 36 % značek se strachovalo ze strmého nárůstu mzdových nákladů a pomalejší obnovy turismu. Neméně závažným faktorem pro</w:t>
      </w:r>
      <w:r w:rsidR="000C2C26">
        <w:rPr>
          <w:color w:val="425153"/>
        </w:rPr>
        <w:t> </w:t>
      </w:r>
      <w:r w:rsidR="004347E2">
        <w:rPr>
          <w:color w:val="425153"/>
        </w:rPr>
        <w:t>maloobchodníky</w:t>
      </w:r>
      <w:r w:rsidR="004347E2" w:rsidRPr="02C1C5E2">
        <w:rPr>
          <w:color w:val="425153"/>
        </w:rPr>
        <w:t xml:space="preserve"> </w:t>
      </w:r>
      <w:r w:rsidRPr="02C1C5E2">
        <w:rPr>
          <w:color w:val="425153"/>
        </w:rPr>
        <w:t>zůstáv</w:t>
      </w:r>
      <w:r w:rsidR="004347E2">
        <w:rPr>
          <w:color w:val="425153"/>
        </w:rPr>
        <w:t>á</w:t>
      </w:r>
      <w:r w:rsidRPr="02C1C5E2">
        <w:rPr>
          <w:color w:val="425153"/>
        </w:rPr>
        <w:t xml:space="preserve"> </w:t>
      </w:r>
      <w:r w:rsidR="000B2630">
        <w:rPr>
          <w:color w:val="425153"/>
        </w:rPr>
        <w:t xml:space="preserve">i </w:t>
      </w:r>
      <w:r w:rsidRPr="02C1C5E2">
        <w:rPr>
          <w:color w:val="425153"/>
        </w:rPr>
        <w:t xml:space="preserve">dlouhodobý nedostatek pracovní síly. </w:t>
      </w:r>
      <w:r w:rsidR="004347E2">
        <w:rPr>
          <w:color w:val="425153"/>
        </w:rPr>
        <w:t xml:space="preserve">Naopak další vlnu </w:t>
      </w:r>
      <w:r w:rsidR="004347E2" w:rsidRPr="02C1C5E2">
        <w:rPr>
          <w:color w:val="425153"/>
        </w:rPr>
        <w:t>covidu-19</w:t>
      </w:r>
      <w:r w:rsidR="004347E2">
        <w:rPr>
          <w:color w:val="425153"/>
        </w:rPr>
        <w:t xml:space="preserve"> vnímá jako potenciální riziko jen </w:t>
      </w:r>
      <w:r w:rsidRPr="02C1C5E2">
        <w:rPr>
          <w:color w:val="425153"/>
        </w:rPr>
        <w:t xml:space="preserve">24 % </w:t>
      </w:r>
      <w:r w:rsidR="004347E2">
        <w:rPr>
          <w:color w:val="425153"/>
        </w:rPr>
        <w:t>dotázaných</w:t>
      </w:r>
      <w:r w:rsidR="001239D5">
        <w:rPr>
          <w:color w:val="425153"/>
        </w:rPr>
        <w:t xml:space="preserve"> (na rozdíl od regionu EMEA, kde drtivá většina </w:t>
      </w:r>
      <w:proofErr w:type="spellStart"/>
      <w:r w:rsidR="000B2630">
        <w:rPr>
          <w:color w:val="425153"/>
        </w:rPr>
        <w:t>retailerů</w:t>
      </w:r>
      <w:proofErr w:type="spellEnd"/>
      <w:r w:rsidR="001239D5">
        <w:rPr>
          <w:color w:val="425153"/>
        </w:rPr>
        <w:t xml:space="preserve"> </w:t>
      </w:r>
      <w:r w:rsidR="00C62247">
        <w:rPr>
          <w:color w:val="425153"/>
        </w:rPr>
        <w:t>považuje</w:t>
      </w:r>
      <w:r w:rsidR="001239D5">
        <w:rPr>
          <w:color w:val="425153"/>
        </w:rPr>
        <w:t xml:space="preserve"> jako největší riziko právě potenciální podzimní vlnu</w:t>
      </w:r>
      <w:r w:rsidR="000B2630">
        <w:rPr>
          <w:color w:val="425153"/>
        </w:rPr>
        <w:t xml:space="preserve"> pandemie).</w:t>
      </w:r>
      <w:r w:rsidR="001239D5">
        <w:rPr>
          <w:color w:val="425153"/>
        </w:rPr>
        <w:t xml:space="preserve"> </w:t>
      </w:r>
    </w:p>
    <w:p w14:paraId="4A546295" w14:textId="2256CF9D" w:rsidR="002C227D" w:rsidRDefault="002C227D" w:rsidP="00784D2C">
      <w:pPr>
        <w:pStyle w:val="BodyCopy"/>
        <w:jc w:val="both"/>
        <w:rPr>
          <w:color w:val="425153"/>
        </w:rPr>
      </w:pPr>
    </w:p>
    <w:p w14:paraId="57AFD770" w14:textId="5189DE2B" w:rsidR="002C227D" w:rsidRDefault="000B2630" w:rsidP="00784D2C">
      <w:pPr>
        <w:pStyle w:val="BodyCopy"/>
        <w:jc w:val="both"/>
        <w:rPr>
          <w:color w:val="425153"/>
        </w:rPr>
      </w:pPr>
      <w:r>
        <w:rPr>
          <w:color w:val="425153"/>
        </w:rPr>
        <w:t>Nicméně i</w:t>
      </w:r>
      <w:r w:rsidR="001239D5">
        <w:rPr>
          <w:color w:val="425153"/>
        </w:rPr>
        <w:t xml:space="preserve"> přes zmiňované obavy</w:t>
      </w:r>
      <w:r>
        <w:rPr>
          <w:color w:val="425153"/>
        </w:rPr>
        <w:t xml:space="preserve"> se obchodníci po nelehkých dvou letech zotavují a </w:t>
      </w:r>
      <w:r w:rsidR="002C227D" w:rsidRPr="002C227D">
        <w:rPr>
          <w:color w:val="425153"/>
        </w:rPr>
        <w:t xml:space="preserve">téměř tři čtvrtiny dotázaných </w:t>
      </w:r>
      <w:r w:rsidR="00B70317">
        <w:rPr>
          <w:color w:val="425153"/>
        </w:rPr>
        <w:t xml:space="preserve">dokonce </w:t>
      </w:r>
      <w:r>
        <w:rPr>
          <w:color w:val="425153"/>
        </w:rPr>
        <w:t xml:space="preserve">plánuje </w:t>
      </w:r>
      <w:r w:rsidR="002C227D" w:rsidRPr="002C227D">
        <w:rPr>
          <w:color w:val="425153"/>
        </w:rPr>
        <w:t xml:space="preserve">expandovat a výhledově otevírat nové pobočky. Zejména se jedná o </w:t>
      </w:r>
      <w:r w:rsidR="00C62247">
        <w:rPr>
          <w:color w:val="425153"/>
        </w:rPr>
        <w:t xml:space="preserve">firmy </w:t>
      </w:r>
      <w:r w:rsidR="00B70317">
        <w:rPr>
          <w:color w:val="425153"/>
        </w:rPr>
        <w:t xml:space="preserve">ze </w:t>
      </w:r>
      <w:r w:rsidR="002C227D" w:rsidRPr="002C227D">
        <w:rPr>
          <w:color w:val="425153"/>
        </w:rPr>
        <w:t>segment</w:t>
      </w:r>
      <w:r w:rsidR="00B70317">
        <w:rPr>
          <w:color w:val="425153"/>
        </w:rPr>
        <w:t>u</w:t>
      </w:r>
      <w:r w:rsidR="002C227D" w:rsidRPr="002C227D">
        <w:rPr>
          <w:color w:val="425153"/>
        </w:rPr>
        <w:t xml:space="preserve"> </w:t>
      </w:r>
      <w:r w:rsidR="00B70317">
        <w:rPr>
          <w:color w:val="425153"/>
        </w:rPr>
        <w:t>S</w:t>
      </w:r>
      <w:r w:rsidR="002C227D" w:rsidRPr="002C227D">
        <w:rPr>
          <w:color w:val="425153"/>
        </w:rPr>
        <w:t xml:space="preserve">portovního vybavení a </w:t>
      </w:r>
      <w:r w:rsidR="00B70317">
        <w:rPr>
          <w:color w:val="425153"/>
        </w:rPr>
        <w:t>G</w:t>
      </w:r>
      <w:r w:rsidR="002C227D" w:rsidRPr="002C227D">
        <w:rPr>
          <w:color w:val="425153"/>
        </w:rPr>
        <w:t>astronomie.</w:t>
      </w:r>
      <w:r w:rsidR="002C227D">
        <w:rPr>
          <w:color w:val="425153"/>
        </w:rPr>
        <w:t xml:space="preserve"> E</w:t>
      </w:r>
      <w:r w:rsidR="002C227D" w:rsidRPr="002C227D">
        <w:rPr>
          <w:color w:val="425153"/>
        </w:rPr>
        <w:t xml:space="preserve">xpanzi </w:t>
      </w:r>
      <w:r w:rsidR="00B70317">
        <w:rPr>
          <w:color w:val="425153"/>
        </w:rPr>
        <w:t>chystají</w:t>
      </w:r>
      <w:r w:rsidR="002C227D" w:rsidRPr="002C227D">
        <w:rPr>
          <w:color w:val="425153"/>
        </w:rPr>
        <w:t xml:space="preserve"> také</w:t>
      </w:r>
      <w:r w:rsidR="00C62247">
        <w:rPr>
          <w:color w:val="425153"/>
        </w:rPr>
        <w:t xml:space="preserve"> značky </w:t>
      </w:r>
      <w:r w:rsidR="002C227D" w:rsidRPr="002C227D">
        <w:rPr>
          <w:color w:val="425153"/>
        </w:rPr>
        <w:t xml:space="preserve">z kategorie </w:t>
      </w:r>
      <w:r w:rsidR="002C227D">
        <w:rPr>
          <w:color w:val="425153"/>
        </w:rPr>
        <w:t>M</w:t>
      </w:r>
      <w:r w:rsidR="002C227D" w:rsidRPr="002C227D">
        <w:rPr>
          <w:color w:val="425153"/>
        </w:rPr>
        <w:t>ódy a</w:t>
      </w:r>
      <w:r w:rsidR="000C2C26">
        <w:rPr>
          <w:color w:val="425153"/>
        </w:rPr>
        <w:t> </w:t>
      </w:r>
      <w:r w:rsidR="002C227D" w:rsidRPr="002C227D">
        <w:rPr>
          <w:color w:val="425153"/>
        </w:rPr>
        <w:t>Zdraví &amp; Krás</w:t>
      </w:r>
      <w:r w:rsidR="002C227D">
        <w:rPr>
          <w:color w:val="425153"/>
        </w:rPr>
        <w:t xml:space="preserve">y, ovšem </w:t>
      </w:r>
      <w:r w:rsidR="00B70317">
        <w:rPr>
          <w:color w:val="425153"/>
        </w:rPr>
        <w:t xml:space="preserve">současně </w:t>
      </w:r>
      <w:r w:rsidR="002C227D">
        <w:rPr>
          <w:color w:val="425153"/>
        </w:rPr>
        <w:t xml:space="preserve">očekávají </w:t>
      </w:r>
      <w:r w:rsidR="00C62247">
        <w:rPr>
          <w:color w:val="425153"/>
        </w:rPr>
        <w:t xml:space="preserve">také </w:t>
      </w:r>
      <w:r w:rsidR="002C227D">
        <w:rPr>
          <w:color w:val="425153"/>
        </w:rPr>
        <w:t xml:space="preserve">uzavírání </w:t>
      </w:r>
      <w:r w:rsidR="002C227D" w:rsidRPr="002C227D">
        <w:rPr>
          <w:color w:val="425153"/>
        </w:rPr>
        <w:t xml:space="preserve">neprofitabilních prodejen. </w:t>
      </w:r>
    </w:p>
    <w:p w14:paraId="23ACA049" w14:textId="0F802329" w:rsidR="7110F824" w:rsidRDefault="7110F824" w:rsidP="00784D2C">
      <w:pPr>
        <w:pStyle w:val="BodyCopy"/>
        <w:jc w:val="both"/>
      </w:pPr>
    </w:p>
    <w:p w14:paraId="710333A7" w14:textId="25C82D04" w:rsidR="008A7018" w:rsidRPr="008A7018" w:rsidRDefault="008A7018" w:rsidP="00784D2C">
      <w:pPr>
        <w:pStyle w:val="BodyCopy"/>
        <w:jc w:val="both"/>
        <w:rPr>
          <w:b/>
          <w:bCs/>
          <w:color w:val="425153"/>
        </w:rPr>
      </w:pPr>
      <w:r w:rsidRPr="008A7018">
        <w:rPr>
          <w:b/>
          <w:bCs/>
          <w:color w:val="425153"/>
        </w:rPr>
        <w:lastRenderedPageBreak/>
        <w:t xml:space="preserve">Zákazníci přesunuli část nákupů do </w:t>
      </w:r>
      <w:r w:rsidR="00AA5B55">
        <w:rPr>
          <w:b/>
          <w:bCs/>
          <w:color w:val="425153"/>
        </w:rPr>
        <w:t>online prostředí. M</w:t>
      </w:r>
      <w:r w:rsidRPr="008A7018">
        <w:rPr>
          <w:b/>
          <w:bCs/>
          <w:color w:val="425153"/>
        </w:rPr>
        <w:t xml:space="preserve">ožnost vyzvednutí </w:t>
      </w:r>
      <w:r w:rsidR="00AA5B55">
        <w:rPr>
          <w:b/>
          <w:bCs/>
          <w:color w:val="425153"/>
        </w:rPr>
        <w:t xml:space="preserve">ale preferují </w:t>
      </w:r>
      <w:r w:rsidRPr="008A7018">
        <w:rPr>
          <w:b/>
          <w:bCs/>
          <w:color w:val="425153"/>
        </w:rPr>
        <w:t xml:space="preserve">osobně </w:t>
      </w:r>
    </w:p>
    <w:p w14:paraId="22E18F99" w14:textId="3CD9696E" w:rsidR="008A7018" w:rsidRPr="008A7018" w:rsidRDefault="008A7018" w:rsidP="00784D2C">
      <w:pPr>
        <w:pStyle w:val="BodyCopy"/>
        <w:jc w:val="both"/>
      </w:pPr>
      <w:r w:rsidRPr="008A7018">
        <w:rPr>
          <w:color w:val="425153"/>
        </w:rPr>
        <w:t xml:space="preserve">Druhý průzkum CBRE se zaměřil na zákaznické chování. Je z něj patrné, že se lidé během pandemie naučili nakupovat </w:t>
      </w:r>
      <w:proofErr w:type="gramStart"/>
      <w:r w:rsidRPr="008A7018">
        <w:rPr>
          <w:color w:val="425153"/>
        </w:rPr>
        <w:t>online.</w:t>
      </w:r>
      <w:r>
        <w:rPr>
          <w:color w:val="425153"/>
        </w:rPr>
        <w:t xml:space="preserve"> </w:t>
      </w:r>
      <w:r w:rsidRPr="008A7018">
        <w:rPr>
          <w:i/>
          <w:iCs/>
          <w:color w:val="425153"/>
        </w:rPr>
        <w:t>,,</w:t>
      </w:r>
      <w:r w:rsidR="00E91331">
        <w:rPr>
          <w:i/>
          <w:iCs/>
          <w:color w:val="425153"/>
        </w:rPr>
        <w:t>L</w:t>
      </w:r>
      <w:r w:rsidRPr="008A7018">
        <w:rPr>
          <w:i/>
          <w:iCs/>
          <w:color w:val="425153"/>
        </w:rPr>
        <w:t>idé</w:t>
      </w:r>
      <w:proofErr w:type="gramEnd"/>
      <w:r w:rsidRPr="008A7018">
        <w:rPr>
          <w:i/>
          <w:iCs/>
          <w:color w:val="425153"/>
        </w:rPr>
        <w:t xml:space="preserve"> aktuálně nakupují </w:t>
      </w:r>
      <w:r w:rsidR="00E91331">
        <w:rPr>
          <w:i/>
          <w:iCs/>
          <w:color w:val="425153"/>
        </w:rPr>
        <w:t>na e-</w:t>
      </w:r>
      <w:proofErr w:type="spellStart"/>
      <w:r w:rsidR="00E91331">
        <w:rPr>
          <w:i/>
          <w:iCs/>
          <w:color w:val="425153"/>
        </w:rPr>
        <w:t>shopech</w:t>
      </w:r>
      <w:proofErr w:type="spellEnd"/>
      <w:r w:rsidR="00E91331">
        <w:rPr>
          <w:i/>
          <w:iCs/>
          <w:color w:val="425153"/>
        </w:rPr>
        <w:t xml:space="preserve"> </w:t>
      </w:r>
      <w:r w:rsidRPr="008A7018">
        <w:rPr>
          <w:i/>
          <w:iCs/>
          <w:color w:val="425153"/>
        </w:rPr>
        <w:t xml:space="preserve">potraviny 2krát častěji než před pandemií, což znamená každý jejich 4. nákup. U drogistického a lékárenského zboží je to 3krát častěji a u oblečení a obuvi 2krát častěji. Občerstvení z restaurací a kaváren si lidé nechávají přivést až 3krát častěji, ale současně tyto podniky fyzicky navštěvují </w:t>
      </w:r>
      <w:r w:rsidR="00F6334B">
        <w:rPr>
          <w:i/>
          <w:iCs/>
          <w:color w:val="425153"/>
        </w:rPr>
        <w:t>v podobné frekvenci</w:t>
      </w:r>
      <w:r w:rsidRPr="008A7018">
        <w:rPr>
          <w:i/>
          <w:iCs/>
          <w:color w:val="425153"/>
        </w:rPr>
        <w:t xml:space="preserve"> jako před pandemií. Zřejmě si po dlouhém období domácího vaření potřebují odpočinout – a zdá se, že vaří méně než v minulosti. Elektronika se hojně nakupovala online již před pandemií, takže ta zaznamenala pouze minimální nárůst, ovšem i tak zákazníci realizují svůj každý 2. nákup online,”</w:t>
      </w:r>
      <w:r w:rsidRPr="008A7018">
        <w:rPr>
          <w:color w:val="425153"/>
        </w:rPr>
        <w:t xml:space="preserve"> popisuje </w:t>
      </w:r>
      <w:r w:rsidRPr="008A7018">
        <w:rPr>
          <w:b/>
          <w:bCs/>
          <w:color w:val="425153"/>
        </w:rPr>
        <w:t>Pavel Urban, vedoucí správy obchodních center a retail marketingu v CBRE</w:t>
      </w:r>
      <w:r w:rsidRPr="008A7018">
        <w:rPr>
          <w:color w:val="425153"/>
        </w:rPr>
        <w:t xml:space="preserve">, a </w:t>
      </w:r>
      <w:proofErr w:type="gramStart"/>
      <w:r w:rsidRPr="008A7018">
        <w:rPr>
          <w:color w:val="425153"/>
        </w:rPr>
        <w:t>dodává:</w:t>
      </w:r>
      <w:r w:rsidR="00AA5B55">
        <w:rPr>
          <w:color w:val="425153"/>
        </w:rPr>
        <w:t xml:space="preserve"> </w:t>
      </w:r>
      <w:r w:rsidRPr="008A7018">
        <w:rPr>
          <w:i/>
          <w:iCs/>
          <w:color w:val="425153"/>
        </w:rPr>
        <w:t>,,Pokud</w:t>
      </w:r>
      <w:proofErr w:type="gramEnd"/>
      <w:r w:rsidRPr="008A7018">
        <w:rPr>
          <w:i/>
          <w:iCs/>
          <w:color w:val="425153"/>
        </w:rPr>
        <w:t xml:space="preserve"> zákazníci nakupují zboží z obchodu online a lze ho vyzvednout také v provozovně v nedalekém nákupním centru, tak tři čtvrtiny lidí preferuje vyzvednutí fyzicky. V kategorii 18</w:t>
      </w:r>
      <w:r w:rsidR="00E91331">
        <w:rPr>
          <w:i/>
          <w:iCs/>
          <w:color w:val="425153"/>
        </w:rPr>
        <w:t xml:space="preserve"> až </w:t>
      </w:r>
      <w:r w:rsidRPr="008A7018">
        <w:rPr>
          <w:i/>
          <w:iCs/>
          <w:color w:val="425153"/>
        </w:rPr>
        <w:t xml:space="preserve">25 let je to dokonce 95 %. Mladí lidé, ač žijí hodně v online </w:t>
      </w:r>
      <w:r w:rsidR="00B90425">
        <w:rPr>
          <w:i/>
          <w:iCs/>
          <w:color w:val="425153"/>
        </w:rPr>
        <w:t>světě</w:t>
      </w:r>
      <w:r w:rsidRPr="008A7018">
        <w:rPr>
          <w:i/>
          <w:iCs/>
          <w:color w:val="425153"/>
        </w:rPr>
        <w:t xml:space="preserve">, také touží po osobním zážitku. Ostatní zákazníci zase spojí vyzvednutí zásilky s jinými nákupy nebo vyřízením potřebného. Je proto </w:t>
      </w:r>
      <w:r w:rsidR="00E91331">
        <w:rPr>
          <w:i/>
          <w:iCs/>
          <w:color w:val="425153"/>
        </w:rPr>
        <w:t>nezbytné</w:t>
      </w:r>
      <w:r w:rsidRPr="008A7018">
        <w:rPr>
          <w:i/>
          <w:iCs/>
          <w:color w:val="425153"/>
        </w:rPr>
        <w:t xml:space="preserve"> začít </w:t>
      </w:r>
      <w:r w:rsidR="00E91331">
        <w:rPr>
          <w:i/>
          <w:iCs/>
          <w:color w:val="425153"/>
        </w:rPr>
        <w:t>postupně</w:t>
      </w:r>
      <w:r w:rsidR="00E91331" w:rsidRPr="008A7018">
        <w:rPr>
          <w:i/>
          <w:iCs/>
          <w:color w:val="425153"/>
        </w:rPr>
        <w:t xml:space="preserve"> </w:t>
      </w:r>
      <w:r w:rsidRPr="008A7018">
        <w:rPr>
          <w:i/>
          <w:iCs/>
          <w:color w:val="425153"/>
        </w:rPr>
        <w:t>oba světy</w:t>
      </w:r>
      <w:r w:rsidR="00E91331">
        <w:rPr>
          <w:i/>
          <w:iCs/>
          <w:color w:val="425153"/>
        </w:rPr>
        <w:t xml:space="preserve"> (</w:t>
      </w:r>
      <w:r w:rsidRPr="008A7018">
        <w:rPr>
          <w:i/>
          <w:iCs/>
          <w:color w:val="425153"/>
        </w:rPr>
        <w:t xml:space="preserve">online i </w:t>
      </w:r>
      <w:proofErr w:type="spellStart"/>
      <w:r w:rsidRPr="008A7018">
        <w:rPr>
          <w:i/>
          <w:iCs/>
          <w:color w:val="425153"/>
        </w:rPr>
        <w:t>offline</w:t>
      </w:r>
      <w:proofErr w:type="spellEnd"/>
      <w:r w:rsidR="00E91331">
        <w:rPr>
          <w:i/>
          <w:iCs/>
          <w:color w:val="425153"/>
        </w:rPr>
        <w:t xml:space="preserve">) </w:t>
      </w:r>
      <w:r w:rsidR="00E91331" w:rsidRPr="008A7018">
        <w:rPr>
          <w:i/>
          <w:iCs/>
          <w:color w:val="425153"/>
        </w:rPr>
        <w:t xml:space="preserve">vnímat </w:t>
      </w:r>
      <w:r w:rsidRPr="008A7018">
        <w:rPr>
          <w:i/>
          <w:iCs/>
          <w:color w:val="425153"/>
        </w:rPr>
        <w:t>synergicky. Obchodníci by se měli snažit uspokojit potřeby a přání zákazníka a je evidentní, že</w:t>
      </w:r>
      <w:r w:rsidR="000C2C26">
        <w:rPr>
          <w:i/>
          <w:iCs/>
          <w:color w:val="425153"/>
        </w:rPr>
        <w:t> </w:t>
      </w:r>
      <w:r w:rsidRPr="008A7018">
        <w:rPr>
          <w:i/>
          <w:iCs/>
          <w:color w:val="425153"/>
        </w:rPr>
        <w:t xml:space="preserve">zákazníkům vyhovuje propojení kamenného obchodu s online </w:t>
      </w:r>
      <w:r w:rsidR="00E91331">
        <w:rPr>
          <w:i/>
          <w:iCs/>
          <w:color w:val="425153"/>
        </w:rPr>
        <w:t>prostředím</w:t>
      </w:r>
      <w:r w:rsidRPr="008A7018">
        <w:rPr>
          <w:i/>
          <w:iCs/>
          <w:color w:val="425153"/>
        </w:rPr>
        <w:t xml:space="preserve">.“ </w:t>
      </w:r>
      <w:r w:rsidRPr="008A7018">
        <w:rPr>
          <w:color w:val="425153"/>
        </w:rPr>
        <w:t xml:space="preserve">Většina lidí vidí hlavní výhody online nakupování v možnosti porovnání cen a dále v úspoře času, </w:t>
      </w:r>
      <w:r w:rsidR="002E7C8A">
        <w:rPr>
          <w:color w:val="425153"/>
        </w:rPr>
        <w:t xml:space="preserve">či </w:t>
      </w:r>
      <w:r w:rsidRPr="008A7018">
        <w:rPr>
          <w:color w:val="425153"/>
        </w:rPr>
        <w:t>větším výběru</w:t>
      </w:r>
      <w:r w:rsidR="002E7C8A">
        <w:rPr>
          <w:color w:val="425153"/>
        </w:rPr>
        <w:t xml:space="preserve"> sortimentu. </w:t>
      </w:r>
      <w:r w:rsidRPr="008A7018">
        <w:rPr>
          <w:color w:val="425153"/>
        </w:rPr>
        <w:t xml:space="preserve">Pouze minimum lidí vnímá výhodu online nakupování v možnosti vyhnout se místům s vyšší koncentrací lidí, </w:t>
      </w:r>
      <w:proofErr w:type="gramStart"/>
      <w:r w:rsidRPr="008A7018">
        <w:rPr>
          <w:color w:val="425153"/>
        </w:rPr>
        <w:t>tzn. že</w:t>
      </w:r>
      <w:proofErr w:type="gramEnd"/>
      <w:r w:rsidRPr="008A7018">
        <w:rPr>
          <w:color w:val="425153"/>
        </w:rPr>
        <w:t xml:space="preserve"> obava z nákazy infekční nemocí se již stala zanedbatelnou bariérou.  </w:t>
      </w:r>
    </w:p>
    <w:p w14:paraId="424E92DC" w14:textId="77777777" w:rsidR="008A7018" w:rsidRPr="008A7018" w:rsidRDefault="008A7018" w:rsidP="00784D2C">
      <w:pPr>
        <w:pStyle w:val="BodyCopy"/>
        <w:jc w:val="both"/>
      </w:pPr>
    </w:p>
    <w:p w14:paraId="5B64D730" w14:textId="4199E2F0" w:rsidR="008A7018" w:rsidRPr="008A7018" w:rsidRDefault="008A7018" w:rsidP="00784D2C">
      <w:pPr>
        <w:pStyle w:val="BodyCopy"/>
        <w:jc w:val="both"/>
      </w:pPr>
      <w:r w:rsidRPr="008A7018">
        <w:rPr>
          <w:color w:val="425153"/>
        </w:rPr>
        <w:t>Dle aktuálních čísel obratů a návštěvnosti lze konstatovat, že se zákazníci do center vrátili a v kamenných obchodech rádi nakupují. Nejvíce přitom preferují tzv. společenská a nákupní centra s nabídkou volnočasových aktivit (uvedly dvě třetiny zákazníků ve věku 18-34</w:t>
      </w:r>
      <w:r w:rsidR="00F6334B">
        <w:rPr>
          <w:color w:val="425153"/>
        </w:rPr>
        <w:t xml:space="preserve"> let</w:t>
      </w:r>
      <w:r w:rsidRPr="008A7018">
        <w:rPr>
          <w:color w:val="425153"/>
        </w:rPr>
        <w:t xml:space="preserve">). Nicméně je zřejmé, že velkou oblibu si během pandemie získala i menší, regionální centra se zastoupením bohaté nabídky služeb a lokálních prodejců, stejně jako retailové parky. </w:t>
      </w:r>
    </w:p>
    <w:p w14:paraId="46A04167" w14:textId="77777777" w:rsidR="008A7018" w:rsidRPr="008A7018" w:rsidRDefault="008A7018" w:rsidP="00784D2C">
      <w:pPr>
        <w:pStyle w:val="BodyCopy"/>
        <w:jc w:val="both"/>
        <w:rPr>
          <w:color w:val="425153"/>
        </w:rPr>
      </w:pPr>
    </w:p>
    <w:p w14:paraId="0CF9D4A7" w14:textId="28483056" w:rsidR="008A7018" w:rsidRDefault="008A7018" w:rsidP="00784D2C">
      <w:pPr>
        <w:pStyle w:val="BodyCopy"/>
        <w:jc w:val="both"/>
      </w:pPr>
      <w:proofErr w:type="gramStart"/>
      <w:r w:rsidRPr="008A7018">
        <w:rPr>
          <w:i/>
          <w:iCs/>
          <w:color w:val="425153"/>
        </w:rPr>
        <w:t>,,Pokud</w:t>
      </w:r>
      <w:proofErr w:type="gramEnd"/>
      <w:r w:rsidRPr="008A7018">
        <w:rPr>
          <w:i/>
          <w:iCs/>
          <w:color w:val="425153"/>
        </w:rPr>
        <w:t xml:space="preserve"> jde o aktuální obavy zákazníků, 86 % dotázaných v našem průzkumu uvedlo, že pociťují zdražování a hodlají tomu přizpůsobit své chování prostřednictvím omezení výdajů. Nejvíce chtějí ušetřit za návštěvy restaurací a kaváren, ale také při nákupu elektroniky, vybavení do domácnosti, sportovního vybavení, oblečení a obuvi. Omezit zároveň chtějí výdaje za zábavu. Naopak šetřit nehodlají na</w:t>
      </w:r>
      <w:r w:rsidR="000C2C26">
        <w:rPr>
          <w:i/>
          <w:iCs/>
          <w:color w:val="425153"/>
        </w:rPr>
        <w:t> </w:t>
      </w:r>
      <w:r w:rsidRPr="008A7018">
        <w:rPr>
          <w:i/>
          <w:iCs/>
          <w:color w:val="425153"/>
        </w:rPr>
        <w:t xml:space="preserve">potravinách a aktuálně ani cestování. Po </w:t>
      </w:r>
      <w:proofErr w:type="spellStart"/>
      <w:r w:rsidRPr="008A7018">
        <w:rPr>
          <w:i/>
          <w:iCs/>
          <w:color w:val="425153"/>
        </w:rPr>
        <w:t>covidových</w:t>
      </w:r>
      <w:proofErr w:type="spellEnd"/>
      <w:r w:rsidRPr="008A7018">
        <w:rPr>
          <w:i/>
          <w:iCs/>
          <w:color w:val="425153"/>
        </w:rPr>
        <w:t xml:space="preserve"> letech mají lidé potřebu </w:t>
      </w:r>
      <w:r w:rsidR="003E1AC7">
        <w:rPr>
          <w:i/>
          <w:iCs/>
          <w:color w:val="425153"/>
        </w:rPr>
        <w:t xml:space="preserve">užít </w:t>
      </w:r>
      <w:r w:rsidRPr="008A7018">
        <w:rPr>
          <w:i/>
          <w:iCs/>
          <w:color w:val="425153"/>
        </w:rPr>
        <w:t>si letošní dovolenou</w:t>
      </w:r>
      <w:r w:rsidR="003E1AC7">
        <w:rPr>
          <w:i/>
          <w:iCs/>
          <w:color w:val="425153"/>
        </w:rPr>
        <w:t xml:space="preserve"> </w:t>
      </w:r>
      <w:r w:rsidRPr="008A7018">
        <w:rPr>
          <w:i/>
          <w:iCs/>
          <w:color w:val="425153"/>
        </w:rPr>
        <w:t xml:space="preserve">opravdu naplno,” </w:t>
      </w:r>
      <w:r w:rsidRPr="008A7018">
        <w:rPr>
          <w:color w:val="425153"/>
        </w:rPr>
        <w:t xml:space="preserve">uzavírá </w:t>
      </w:r>
      <w:r w:rsidRPr="008A7018">
        <w:rPr>
          <w:b/>
          <w:bCs/>
          <w:color w:val="425153"/>
        </w:rPr>
        <w:t>Pavel Urban</w:t>
      </w:r>
      <w:r w:rsidRPr="008A7018">
        <w:rPr>
          <w:color w:val="425153"/>
        </w:rPr>
        <w:t>.</w:t>
      </w:r>
    </w:p>
    <w:p w14:paraId="02891B65" w14:textId="5BD8D678" w:rsidR="7110F824" w:rsidRDefault="7110F824" w:rsidP="00784D2C">
      <w:pPr>
        <w:pStyle w:val="BodyCopy"/>
        <w:jc w:val="both"/>
      </w:pPr>
    </w:p>
    <w:p w14:paraId="026E6556" w14:textId="77777777" w:rsidR="003A362E" w:rsidRDefault="003A362E" w:rsidP="00784D2C">
      <w:pPr>
        <w:spacing w:after="200"/>
        <w:jc w:val="both"/>
        <w:rPr>
          <w:color w:val="425254" w:themeColor="text1"/>
          <w:u w:val="single"/>
        </w:rPr>
      </w:pPr>
      <w:r>
        <w:rPr>
          <w:u w:val="single"/>
        </w:rPr>
        <w:br w:type="page"/>
      </w:r>
    </w:p>
    <w:p w14:paraId="44B1D34F" w14:textId="62BCDCC5" w:rsidR="006077F7" w:rsidRPr="001C5E35" w:rsidRDefault="7CA79AFA" w:rsidP="00784D2C">
      <w:pPr>
        <w:pStyle w:val="BodyCopy"/>
        <w:jc w:val="both"/>
        <w:rPr>
          <w:u w:val="single"/>
        </w:rPr>
      </w:pPr>
      <w:r w:rsidRPr="7110F824">
        <w:rPr>
          <w:u w:val="single"/>
        </w:rPr>
        <w:lastRenderedPageBreak/>
        <w:t>O Shopping Centre Indexu</w:t>
      </w:r>
    </w:p>
    <w:p w14:paraId="75045510" w14:textId="2829306E" w:rsidR="006077F7" w:rsidRDefault="7CA79AFA" w:rsidP="00784D2C">
      <w:pPr>
        <w:pStyle w:val="BodyCopy"/>
        <w:jc w:val="both"/>
      </w:pPr>
      <w:r>
        <w:t>CBRE Shopping Centre Index je jediným tržním ukazatelem, který nepřetržitě sleduje výkonnost regionálních nákupních center v České republice, a to od roku 2013. Analyzuje vzorek 2</w:t>
      </w:r>
      <w:r w:rsidR="07CF0389">
        <w:t>1</w:t>
      </w:r>
      <w:r>
        <w:t xml:space="preserve"> nákupních center v regionech (kromě Prahy) s maloobchodní plochou </w:t>
      </w:r>
      <w:r w:rsidR="358BD020">
        <w:t>přesahu</w:t>
      </w:r>
      <w:r>
        <w:t xml:space="preserve">jící </w:t>
      </w:r>
      <w:r w:rsidR="07CF0389">
        <w:t>600</w:t>
      </w:r>
      <w:r>
        <w:t xml:space="preserve"> 000 m</w:t>
      </w:r>
      <w:r w:rsidRPr="7110F824">
        <w:rPr>
          <w:vertAlign w:val="superscript"/>
        </w:rPr>
        <w:t>2</w:t>
      </w:r>
      <w:r w:rsidRPr="7110F824">
        <w:t xml:space="preserve">, tzn. </w:t>
      </w:r>
      <w:r w:rsidR="00D02098">
        <w:t>více než 35 % z </w:t>
      </w:r>
      <w:r>
        <w:t xml:space="preserve">celkového objemu nákupních center v regionech. </w:t>
      </w:r>
      <w:r w:rsidR="7110F824">
        <w:t xml:space="preserve">Přibližně 70 až 85 % plochy </w:t>
      </w:r>
      <w:r>
        <w:t xml:space="preserve">tvoří nákupní galerie, zbytek zaujímají potravinové řetězce, multiplexy a další volnočasové koncepty jako dětské koutky, bowlingové herny, kasina nebo myčky aut, které se nachází až ve třetině center. Právě tyto segmenty (mimo nákupní galerie) nejsou součástí indexu, protože by mohly způsobit zkreslení výsledků. </w:t>
      </w:r>
    </w:p>
    <w:p w14:paraId="143EE79D" w14:textId="77777777" w:rsidR="001C5E35" w:rsidRPr="006077F7" w:rsidRDefault="001C5E35" w:rsidP="00784D2C">
      <w:pPr>
        <w:pStyle w:val="BodyCopy"/>
        <w:jc w:val="both"/>
      </w:pPr>
    </w:p>
    <w:p w14:paraId="27D139A0" w14:textId="47508EB5" w:rsidR="006077F7" w:rsidRPr="001C5E35" w:rsidRDefault="7110F824" w:rsidP="00784D2C">
      <w:pPr>
        <w:pStyle w:val="BodyCopy"/>
        <w:jc w:val="both"/>
        <w:rPr>
          <w:u w:val="single"/>
        </w:rPr>
      </w:pPr>
      <w:r w:rsidRPr="7110F824">
        <w:rPr>
          <w:u w:val="single"/>
        </w:rPr>
        <w:t>Více o aktuálních průzkumech</w:t>
      </w:r>
    </w:p>
    <w:p w14:paraId="6DB35CB4" w14:textId="1A55C1B3" w:rsidR="006077F7" w:rsidRPr="001C5E35" w:rsidRDefault="7110F824" w:rsidP="00784D2C">
      <w:pPr>
        <w:pStyle w:val="BodyCopy"/>
        <w:jc w:val="both"/>
      </w:pPr>
      <w:r w:rsidRPr="008A7018">
        <w:rPr>
          <w:color w:val="425153"/>
        </w:rPr>
        <w:t>Průzkum zákaznického chování a preferencí proběhl v době od 11. do 29. dubna 2022, přičemž skupinu respondentů tvořilo téměř 700 zákazníků. Průzkum očekávání a str</w:t>
      </w:r>
      <w:r w:rsidR="00D02098" w:rsidRPr="008A7018">
        <w:rPr>
          <w:color w:val="425153"/>
        </w:rPr>
        <w:t>ategie maloobchodníků proběhl v </w:t>
      </w:r>
      <w:r w:rsidRPr="008A7018">
        <w:rPr>
          <w:color w:val="425153"/>
        </w:rPr>
        <w:t>době od 25. dubna do 5. května 2022, kdy skupinu respondentů tvořilo více než 25 maloobchodníků provozujících v tuzemsku na</w:t>
      </w:r>
      <w:r w:rsidR="00D2097E" w:rsidRPr="008A7018">
        <w:rPr>
          <w:color w:val="425153"/>
        </w:rPr>
        <w:t xml:space="preserve"> </w:t>
      </w:r>
      <w:r w:rsidRPr="008A7018">
        <w:rPr>
          <w:color w:val="425153"/>
        </w:rPr>
        <w:t>1 2</w:t>
      </w:r>
      <w:r w:rsidR="00D2097E" w:rsidRPr="008A7018">
        <w:rPr>
          <w:color w:val="425153"/>
        </w:rPr>
        <w:t>50</w:t>
      </w:r>
      <w:r w:rsidRPr="008A7018">
        <w:rPr>
          <w:color w:val="425153"/>
        </w:rPr>
        <w:t xml:space="preserve"> obchodů/jednotek v 6 hlavních segmentech. Oba</w:t>
      </w:r>
      <w:r w:rsidRPr="02C1C5E2">
        <w:rPr>
          <w:color w:val="425153"/>
        </w:rPr>
        <w:t xml:space="preserve"> průzkumy měly za</w:t>
      </w:r>
      <w:r w:rsidR="000C2C26">
        <w:rPr>
          <w:color w:val="425153"/>
        </w:rPr>
        <w:t> </w:t>
      </w:r>
      <w:r w:rsidRPr="02C1C5E2">
        <w:rPr>
          <w:color w:val="425153"/>
        </w:rPr>
        <w:t xml:space="preserve">cíl zjistit, jaké změny nastaly po pandemii covidu-19 v letech 2020 a 2021 a v současném ekonomickém a geopolitickém prostředí v České republice. </w:t>
      </w:r>
    </w:p>
    <w:p w14:paraId="5468C665" w14:textId="157EB55B" w:rsidR="006077F7" w:rsidRPr="001C5E35" w:rsidRDefault="006077F7" w:rsidP="00784D2C">
      <w:pPr>
        <w:pStyle w:val="BodyCopy"/>
        <w:jc w:val="both"/>
      </w:pPr>
    </w:p>
    <w:p w14:paraId="35C083E9" w14:textId="6B336C1E" w:rsidR="006077F7" w:rsidRPr="001C5E35" w:rsidRDefault="7CA79AFA" w:rsidP="00784D2C">
      <w:pPr>
        <w:pStyle w:val="BodyCopy"/>
        <w:jc w:val="both"/>
        <w:rPr>
          <w:u w:val="single"/>
        </w:rPr>
      </w:pPr>
      <w:r w:rsidRPr="7110F824">
        <w:rPr>
          <w:u w:val="single"/>
        </w:rPr>
        <w:t>O CBRE Retail</w:t>
      </w:r>
    </w:p>
    <w:p w14:paraId="6B57FAFA" w14:textId="53A42CDA" w:rsidR="00DE2403" w:rsidRDefault="7110F824" w:rsidP="00784D2C">
      <w:pPr>
        <w:pStyle w:val="BodyCopy"/>
        <w:jc w:val="both"/>
      </w:pPr>
      <w:r>
        <w:t>CBRE je expertem na správu maloobchodních ploch, přičemž aktuálně má ve správě 2</w:t>
      </w:r>
      <w:r w:rsidR="008A7018">
        <w:t>3</w:t>
      </w:r>
      <w:r>
        <w:t xml:space="preserve"> retailových nemovitostí v rámci celé České republiky. </w:t>
      </w:r>
      <w:r w:rsidR="7CA79AFA">
        <w:t>Poskytuje rozsáhlé a komplexní poradenství v oblasti nákupu a prodeje maloobchodních aktiv, pronájmu maloobchodních prostor, zastupování nájemců při vstupu na</w:t>
      </w:r>
      <w:r w:rsidR="000C2C26">
        <w:t> </w:t>
      </w:r>
      <w:r w:rsidR="7CA79AFA">
        <w:t>český trh nebo optimalizaci sítě prodejen, a dále správu, marketing a koncept design nákupních center a retail parků. V neposlední řadě je lídrem v průzkumu maloobchodního trhu a chování zákazníků.</w:t>
      </w:r>
    </w:p>
    <w:p w14:paraId="76F53B25" w14:textId="4A57D4CF" w:rsidR="7110F824" w:rsidRDefault="7110F824" w:rsidP="00784D2C">
      <w:pPr>
        <w:pStyle w:val="BodyCopy"/>
        <w:jc w:val="both"/>
      </w:pPr>
    </w:p>
    <w:p w14:paraId="3EDF02A7" w14:textId="3029CF4A" w:rsidR="00DB7F4A" w:rsidRPr="00A355D5" w:rsidRDefault="0055626C" w:rsidP="00784D2C">
      <w:pPr>
        <w:pStyle w:val="Contact"/>
        <w:jc w:val="both"/>
      </w:pPr>
      <w:r>
        <w:br/>
      </w:r>
      <w:r w:rsidR="065FC1AA">
        <w:t>Kontakty:</w:t>
      </w:r>
      <w:r w:rsidR="00DB7F4A">
        <w:br/>
      </w:r>
      <w:proofErr w:type="spellStart"/>
      <w:r w:rsidR="065FC1AA">
        <w:t>Crest</w:t>
      </w:r>
      <w:proofErr w:type="spellEnd"/>
      <w:r w:rsidR="065FC1AA">
        <w:t xml:space="preserve"> Communications, a.s.</w:t>
      </w:r>
    </w:p>
    <w:p w14:paraId="0C75A380" w14:textId="77777777" w:rsidR="00DB7F4A" w:rsidRDefault="065FC1AA" w:rsidP="00784D2C">
      <w:pPr>
        <w:pStyle w:val="Contact"/>
        <w:jc w:val="both"/>
        <w:rPr>
          <w:b w:val="0"/>
          <w:bCs w:val="0"/>
        </w:rPr>
      </w:pPr>
      <w:r>
        <w:rPr>
          <w:b w:val="0"/>
          <w:bCs w:val="0"/>
        </w:rPr>
        <w:t>Denisa Kolaříková</w:t>
      </w:r>
      <w:r w:rsidR="00DB7F4A">
        <w:tab/>
      </w:r>
      <w:r w:rsidR="00DB7F4A">
        <w:tab/>
      </w:r>
      <w:r w:rsidR="00DB7F4A">
        <w:tab/>
      </w:r>
      <w:r w:rsidR="00DB7F4A">
        <w:tab/>
      </w:r>
      <w:r w:rsidR="00DB7F4A">
        <w:tab/>
      </w:r>
      <w:r w:rsidR="00DB7F4A">
        <w:tab/>
      </w:r>
      <w:r>
        <w:rPr>
          <w:b w:val="0"/>
          <w:bCs w:val="0"/>
        </w:rPr>
        <w:t>Kamila Čadková</w:t>
      </w:r>
    </w:p>
    <w:p w14:paraId="180E2F62" w14:textId="77777777" w:rsidR="00DB7F4A" w:rsidRDefault="065FC1AA" w:rsidP="00784D2C">
      <w:pPr>
        <w:pStyle w:val="Contact"/>
        <w:jc w:val="both"/>
        <w:rPr>
          <w:b w:val="0"/>
          <w:bCs w:val="0"/>
        </w:rPr>
      </w:pPr>
      <w:proofErr w:type="spellStart"/>
      <w:r>
        <w:rPr>
          <w:b w:val="0"/>
          <w:bCs w:val="0"/>
        </w:rPr>
        <w:t>Account</w:t>
      </w:r>
      <w:proofErr w:type="spellEnd"/>
      <w:r>
        <w:rPr>
          <w:b w:val="0"/>
          <w:bCs w:val="0"/>
        </w:rPr>
        <w:t xml:space="preserve"> </w:t>
      </w:r>
      <w:proofErr w:type="spellStart"/>
      <w:r>
        <w:rPr>
          <w:b w:val="0"/>
          <w:bCs w:val="0"/>
        </w:rPr>
        <w:t>Manager</w:t>
      </w:r>
      <w:proofErr w:type="spellEnd"/>
      <w:r w:rsidR="00DB7F4A">
        <w:tab/>
      </w:r>
      <w:r w:rsidR="00DB7F4A">
        <w:tab/>
      </w:r>
      <w:r w:rsidR="00DB7F4A">
        <w:tab/>
      </w:r>
      <w:r w:rsidR="00DB7F4A">
        <w:tab/>
      </w:r>
      <w:r w:rsidR="00DB7F4A">
        <w:tab/>
      </w:r>
      <w:r w:rsidR="00DB7F4A">
        <w:tab/>
      </w:r>
      <w:proofErr w:type="spellStart"/>
      <w:r>
        <w:rPr>
          <w:b w:val="0"/>
          <w:bCs w:val="0"/>
        </w:rPr>
        <w:t>Account</w:t>
      </w:r>
      <w:proofErr w:type="spellEnd"/>
      <w:r>
        <w:rPr>
          <w:b w:val="0"/>
          <w:bCs w:val="0"/>
        </w:rPr>
        <w:t xml:space="preserve"> </w:t>
      </w:r>
      <w:proofErr w:type="spellStart"/>
      <w:r>
        <w:rPr>
          <w:b w:val="0"/>
          <w:bCs w:val="0"/>
        </w:rPr>
        <w:t>Director</w:t>
      </w:r>
      <w:proofErr w:type="spellEnd"/>
    </w:p>
    <w:p w14:paraId="733C79D2" w14:textId="77777777" w:rsidR="00DB7F4A" w:rsidRDefault="065FC1AA" w:rsidP="00784D2C">
      <w:pPr>
        <w:pStyle w:val="Contact"/>
        <w:jc w:val="both"/>
        <w:rPr>
          <w:b w:val="0"/>
          <w:bCs w:val="0"/>
        </w:rPr>
      </w:pPr>
      <w:r>
        <w:rPr>
          <w:b w:val="0"/>
          <w:bCs w:val="0"/>
        </w:rPr>
        <w:t>T: +420 731 613 606</w:t>
      </w:r>
      <w:r w:rsidR="00DB7F4A">
        <w:tab/>
      </w:r>
      <w:r w:rsidR="00DB7F4A">
        <w:tab/>
      </w:r>
      <w:r w:rsidR="00DB7F4A">
        <w:tab/>
      </w:r>
      <w:r w:rsidR="00DB7F4A">
        <w:tab/>
      </w:r>
      <w:r w:rsidR="00DB7F4A">
        <w:tab/>
      </w:r>
      <w:r w:rsidR="00DB7F4A">
        <w:tab/>
      </w:r>
      <w:r>
        <w:rPr>
          <w:b w:val="0"/>
          <w:bCs w:val="0"/>
        </w:rPr>
        <w:t>T: +420 731 613 609</w:t>
      </w:r>
    </w:p>
    <w:p w14:paraId="721A6878" w14:textId="77777777" w:rsidR="00DB7F4A" w:rsidRDefault="065FC1AA" w:rsidP="00784D2C">
      <w:pPr>
        <w:pStyle w:val="Contact"/>
        <w:jc w:val="both"/>
        <w:rPr>
          <w:b w:val="0"/>
          <w:bCs w:val="0"/>
        </w:rPr>
      </w:pPr>
      <w:r>
        <w:rPr>
          <w:b w:val="0"/>
          <w:bCs w:val="0"/>
        </w:rPr>
        <w:t xml:space="preserve">e-mail: </w:t>
      </w:r>
      <w:hyperlink r:id="rId8">
        <w:r w:rsidRPr="7110F824">
          <w:rPr>
            <w:rStyle w:val="Hypertextovodkaz"/>
            <w:b w:val="0"/>
            <w:bCs w:val="0"/>
          </w:rPr>
          <w:t>denisa.kolarikova@crestcom.cz</w:t>
        </w:r>
      </w:hyperlink>
      <w:r>
        <w:rPr>
          <w:b w:val="0"/>
          <w:bCs w:val="0"/>
        </w:rPr>
        <w:t xml:space="preserve"> </w:t>
      </w:r>
      <w:r w:rsidR="00DB7F4A">
        <w:tab/>
      </w:r>
      <w:r w:rsidR="00DB7F4A">
        <w:tab/>
      </w:r>
      <w:r w:rsidR="00DB7F4A">
        <w:tab/>
      </w:r>
      <w:r>
        <w:rPr>
          <w:b w:val="0"/>
          <w:bCs w:val="0"/>
        </w:rPr>
        <w:t xml:space="preserve">e- mail: </w:t>
      </w:r>
      <w:hyperlink r:id="rId9">
        <w:r w:rsidRPr="7110F824">
          <w:rPr>
            <w:rStyle w:val="Hypertextovodkaz"/>
            <w:b w:val="0"/>
            <w:bCs w:val="0"/>
          </w:rPr>
          <w:t>kamila.cadkova@crestcom.cz</w:t>
        </w:r>
      </w:hyperlink>
      <w:r>
        <w:rPr>
          <w:b w:val="0"/>
          <w:bCs w:val="0"/>
        </w:rPr>
        <w:t xml:space="preserve"> </w:t>
      </w:r>
    </w:p>
    <w:p w14:paraId="7A26B51B" w14:textId="77777777" w:rsidR="00DB7F4A" w:rsidRDefault="008548D3" w:rsidP="00784D2C">
      <w:pPr>
        <w:pStyle w:val="Contact"/>
        <w:jc w:val="both"/>
        <w:rPr>
          <w:b w:val="0"/>
          <w:bCs w:val="0"/>
        </w:rPr>
      </w:pPr>
      <w:hyperlink r:id="rId10">
        <w:r w:rsidR="065FC1AA" w:rsidRPr="7110F824">
          <w:rPr>
            <w:rStyle w:val="Hypertextovodkaz"/>
            <w:b w:val="0"/>
            <w:bCs w:val="0"/>
          </w:rPr>
          <w:t>www.crestcom.cz</w:t>
        </w:r>
      </w:hyperlink>
    </w:p>
    <w:p w14:paraId="39FED434" w14:textId="77777777" w:rsidR="00DB7F4A" w:rsidRDefault="00DB7F4A" w:rsidP="00784D2C">
      <w:pPr>
        <w:pStyle w:val="Contact"/>
        <w:jc w:val="both"/>
      </w:pPr>
    </w:p>
    <w:p w14:paraId="001FB16D" w14:textId="77777777" w:rsidR="00DB7F4A" w:rsidRDefault="065FC1AA" w:rsidP="00784D2C">
      <w:pPr>
        <w:pStyle w:val="Contact"/>
        <w:jc w:val="both"/>
      </w:pPr>
      <w:r>
        <w:t>CBRE</w:t>
      </w:r>
    </w:p>
    <w:p w14:paraId="5AE6509A" w14:textId="77777777" w:rsidR="00DB7F4A" w:rsidRDefault="065FC1AA" w:rsidP="00784D2C">
      <w:pPr>
        <w:pStyle w:val="Contact"/>
        <w:jc w:val="both"/>
        <w:rPr>
          <w:b w:val="0"/>
          <w:bCs w:val="0"/>
        </w:rPr>
      </w:pPr>
      <w:r>
        <w:rPr>
          <w:b w:val="0"/>
          <w:bCs w:val="0"/>
        </w:rPr>
        <w:t xml:space="preserve">Renata Mrázová, Senior </w:t>
      </w:r>
      <w:proofErr w:type="spellStart"/>
      <w:r>
        <w:rPr>
          <w:b w:val="0"/>
          <w:bCs w:val="0"/>
        </w:rPr>
        <w:t>Communication</w:t>
      </w:r>
      <w:proofErr w:type="spellEnd"/>
      <w:r>
        <w:rPr>
          <w:b w:val="0"/>
          <w:bCs w:val="0"/>
        </w:rPr>
        <w:t xml:space="preserve"> </w:t>
      </w:r>
      <w:proofErr w:type="spellStart"/>
      <w:r>
        <w:rPr>
          <w:b w:val="0"/>
          <w:bCs w:val="0"/>
        </w:rPr>
        <w:t>Specialist</w:t>
      </w:r>
      <w:proofErr w:type="spellEnd"/>
      <w:r>
        <w:rPr>
          <w:b w:val="0"/>
          <w:bCs w:val="0"/>
        </w:rPr>
        <w:t xml:space="preserve">, +420 604 308 765, </w:t>
      </w:r>
      <w:hyperlink r:id="rId11">
        <w:r w:rsidRPr="7110F824">
          <w:rPr>
            <w:rStyle w:val="Hypertextovodkaz"/>
            <w:b w:val="0"/>
            <w:bCs w:val="0"/>
          </w:rPr>
          <w:t>renata.mrazova@cbre.com</w:t>
        </w:r>
      </w:hyperlink>
      <w:r>
        <w:rPr>
          <w:b w:val="0"/>
          <w:bCs w:val="0"/>
        </w:rPr>
        <w:t xml:space="preserve"> </w:t>
      </w:r>
    </w:p>
    <w:p w14:paraId="50AF1204" w14:textId="77777777" w:rsidR="00DB7F4A" w:rsidRDefault="065FC1AA" w:rsidP="00784D2C">
      <w:pPr>
        <w:pStyle w:val="Contact"/>
        <w:jc w:val="both"/>
        <w:rPr>
          <w:b w:val="0"/>
          <w:bCs w:val="0"/>
        </w:rPr>
      </w:pPr>
      <w:r>
        <w:rPr>
          <w:b w:val="0"/>
          <w:bCs w:val="0"/>
        </w:rPr>
        <w:t>CBRE Česká republika</w:t>
      </w:r>
      <w:r w:rsidRPr="7110F824">
        <w:rPr>
          <w:rStyle w:val="normaltextrun"/>
          <w:b w:val="0"/>
          <w:bCs w:val="0"/>
          <w:color w:val="1F497D"/>
        </w:rPr>
        <w:t> </w:t>
      </w:r>
      <w:proofErr w:type="spellStart"/>
      <w:r w:rsidR="008548D3">
        <w:rPr>
          <w:rStyle w:val="normaltextrun"/>
          <w:b w:val="0"/>
          <w:bCs w:val="0"/>
          <w:color w:val="7FBBAD" w:themeColor="background2"/>
          <w:u w:val="single"/>
        </w:rPr>
        <w:fldChar w:fldCharType="begin"/>
      </w:r>
      <w:r w:rsidR="008548D3">
        <w:rPr>
          <w:rStyle w:val="normaltextrun"/>
          <w:b w:val="0"/>
          <w:bCs w:val="0"/>
          <w:color w:val="7FBBAD" w:themeColor="background2"/>
          <w:u w:val="single"/>
        </w:rPr>
        <w:instrText xml:space="preserve"> HYPERLINK "https://www.faceb</w:instrText>
      </w:r>
      <w:r w:rsidR="008548D3">
        <w:rPr>
          <w:rStyle w:val="normaltextrun"/>
          <w:b w:val="0"/>
          <w:bCs w:val="0"/>
          <w:color w:val="7FBBAD" w:themeColor="background2"/>
          <w:u w:val="single"/>
        </w:rPr>
        <w:instrText xml:space="preserve">ook.com/pages/CBRE-News/626929170775263?ref=ts&amp;fref=ts" \h </w:instrText>
      </w:r>
      <w:r w:rsidR="008548D3">
        <w:rPr>
          <w:rStyle w:val="normaltextrun"/>
          <w:b w:val="0"/>
          <w:bCs w:val="0"/>
          <w:color w:val="7FBBAD" w:themeColor="background2"/>
          <w:u w:val="single"/>
        </w:rPr>
        <w:fldChar w:fldCharType="separate"/>
      </w:r>
      <w:r w:rsidRPr="7110F824">
        <w:rPr>
          <w:rStyle w:val="normaltextrun"/>
          <w:b w:val="0"/>
          <w:bCs w:val="0"/>
          <w:color w:val="7FBBAD" w:themeColor="background2"/>
          <w:u w:val="single"/>
        </w:rPr>
        <w:t>Facebook</w:t>
      </w:r>
      <w:proofErr w:type="spellEnd"/>
      <w:r w:rsidR="008548D3">
        <w:rPr>
          <w:rStyle w:val="normaltextrun"/>
          <w:b w:val="0"/>
          <w:bCs w:val="0"/>
          <w:color w:val="7FBBAD" w:themeColor="background2"/>
          <w:u w:val="single"/>
        </w:rPr>
        <w:fldChar w:fldCharType="end"/>
      </w:r>
      <w:r w:rsidRPr="7110F824">
        <w:rPr>
          <w:rStyle w:val="normaltextrun"/>
          <w:b w:val="0"/>
          <w:bCs w:val="0"/>
          <w:color w:val="7FBBAD" w:themeColor="background2"/>
          <w:u w:val="single"/>
        </w:rPr>
        <w:t>,</w:t>
      </w:r>
      <w:r w:rsidRPr="7110F824">
        <w:rPr>
          <w:rStyle w:val="normaltextrun"/>
          <w:b w:val="0"/>
          <w:bCs w:val="0"/>
          <w:color w:val="7FBBAD" w:themeColor="background2"/>
        </w:rPr>
        <w:t> </w:t>
      </w:r>
      <w:proofErr w:type="spellStart"/>
      <w:r w:rsidR="008548D3">
        <w:rPr>
          <w:rStyle w:val="normaltextrun"/>
          <w:b w:val="0"/>
          <w:bCs w:val="0"/>
          <w:color w:val="7FBBAD" w:themeColor="background2"/>
          <w:u w:val="single"/>
        </w:rPr>
        <w:fldChar w:fldCharType="begin"/>
      </w:r>
      <w:r w:rsidR="008548D3">
        <w:rPr>
          <w:rStyle w:val="normaltextrun"/>
          <w:b w:val="0"/>
          <w:bCs w:val="0"/>
          <w:color w:val="7FBBAD" w:themeColor="background2"/>
          <w:u w:val="single"/>
        </w:rPr>
        <w:instrText xml:space="preserve"> HYPERLINK "https://www.linkedin.com/company/3585825?trk=tyah&amp;trkInfo=clickedVertical%253Acompany%252Cidx%253A1-1-1%252CtarId%253A1431360641868%252Ctas%253Acbre%2520czech" \t "_blank" </w:instrText>
      </w:r>
      <w:r w:rsidR="008548D3">
        <w:rPr>
          <w:rStyle w:val="normaltextrun"/>
          <w:b w:val="0"/>
          <w:bCs w:val="0"/>
          <w:color w:val="7FBBAD" w:themeColor="background2"/>
          <w:u w:val="single"/>
        </w:rPr>
        <w:fldChar w:fldCharType="separate"/>
      </w:r>
      <w:r w:rsidRPr="7110F824">
        <w:rPr>
          <w:rStyle w:val="normaltextrun"/>
          <w:b w:val="0"/>
          <w:bCs w:val="0"/>
          <w:color w:val="7FBBAD" w:themeColor="background2"/>
          <w:u w:val="single"/>
        </w:rPr>
        <w:t>Linkedin</w:t>
      </w:r>
      <w:proofErr w:type="spellEnd"/>
      <w:r w:rsidR="008548D3">
        <w:rPr>
          <w:rStyle w:val="normaltextrun"/>
          <w:b w:val="0"/>
          <w:bCs w:val="0"/>
          <w:color w:val="7FBBAD" w:themeColor="background2"/>
          <w:u w:val="single"/>
        </w:rPr>
        <w:fldChar w:fldCharType="end"/>
      </w:r>
      <w:r w:rsidRPr="7110F824">
        <w:rPr>
          <w:rStyle w:val="normaltextrun"/>
          <w:b w:val="0"/>
          <w:bCs w:val="0"/>
          <w:color w:val="7FBBAD" w:themeColor="background2"/>
        </w:rPr>
        <w:t>, </w:t>
      </w:r>
      <w:proofErr w:type="spellStart"/>
      <w:r w:rsidR="008548D3">
        <w:rPr>
          <w:rStyle w:val="normaltextrun"/>
          <w:b w:val="0"/>
          <w:bCs w:val="0"/>
          <w:color w:val="7FBBAD" w:themeColor="background2"/>
          <w:u w:val="single"/>
        </w:rPr>
        <w:fldChar w:fldCharType="begin"/>
      </w:r>
      <w:r w:rsidR="008548D3">
        <w:rPr>
          <w:rStyle w:val="normaltextrun"/>
          <w:b w:val="0"/>
          <w:bCs w:val="0"/>
          <w:color w:val="7FBBAD" w:themeColor="background2"/>
          <w:u w:val="single"/>
        </w:rPr>
        <w:instrText xml:space="preserve"> HYPERLINK "https://www.instagram.com/cbre_cz/" \h </w:instrText>
      </w:r>
      <w:r w:rsidR="008548D3">
        <w:rPr>
          <w:rStyle w:val="normaltextrun"/>
          <w:b w:val="0"/>
          <w:bCs w:val="0"/>
          <w:color w:val="7FBBAD" w:themeColor="background2"/>
          <w:u w:val="single"/>
        </w:rPr>
        <w:fldChar w:fldCharType="separate"/>
      </w:r>
      <w:r w:rsidRPr="7110F824">
        <w:rPr>
          <w:rStyle w:val="normaltextrun"/>
          <w:b w:val="0"/>
          <w:bCs w:val="0"/>
          <w:color w:val="7FBBAD" w:themeColor="background2"/>
          <w:u w:val="single"/>
        </w:rPr>
        <w:t>Instagram</w:t>
      </w:r>
      <w:proofErr w:type="spellEnd"/>
      <w:r w:rsidR="008548D3">
        <w:rPr>
          <w:rStyle w:val="normaltextrun"/>
          <w:b w:val="0"/>
          <w:bCs w:val="0"/>
          <w:color w:val="7FBBAD" w:themeColor="background2"/>
          <w:u w:val="single"/>
        </w:rPr>
        <w:fldChar w:fldCharType="end"/>
      </w:r>
    </w:p>
    <w:p w14:paraId="67530528" w14:textId="77777777" w:rsidR="00DB7F4A" w:rsidRPr="00E02087" w:rsidRDefault="00DB7F4A" w:rsidP="00784D2C">
      <w:pPr>
        <w:pStyle w:val="BodyCopy"/>
        <w:jc w:val="both"/>
      </w:pPr>
    </w:p>
    <w:p w14:paraId="76F9CA56" w14:textId="77777777" w:rsidR="00DB7F4A" w:rsidRDefault="065FC1AA" w:rsidP="00784D2C">
      <w:pPr>
        <w:pStyle w:val="Boilerplate"/>
        <w:jc w:val="both"/>
        <w:rPr>
          <w:u w:val="single"/>
        </w:rPr>
      </w:pPr>
      <w:r w:rsidRPr="7110F824">
        <w:rPr>
          <w:u w:val="single"/>
        </w:rPr>
        <w:t>O CBRE:</w:t>
      </w:r>
    </w:p>
    <w:p w14:paraId="53CCAB81" w14:textId="21DE92EE" w:rsidR="00DB7F4A" w:rsidRPr="00B45298" w:rsidRDefault="065FC1AA" w:rsidP="00784D2C">
      <w:pPr>
        <w:pStyle w:val="Boilerplate"/>
        <w:jc w:val="both"/>
        <w:rPr>
          <w:rFonts w:ascii="Futura Lt BT Light" w:hAnsi="Futura Lt BT Light"/>
        </w:rPr>
      </w:pPr>
      <w:r>
        <w:t xml:space="preserve">CBRE Group, společnost figurující na žebříčku </w:t>
      </w:r>
      <w:proofErr w:type="spellStart"/>
      <w:r>
        <w:t>Fortune</w:t>
      </w:r>
      <w:proofErr w:type="spellEnd"/>
      <w:r>
        <w:t xml:space="preserve"> 500 a indexu S&amp;P 500 se sídlem v Dallasu, je světovou vedoucí společností v oblasti realitních služeb a investic (z hlediska výnosů za rok 202</w:t>
      </w:r>
      <w:r w:rsidR="652FDB8A">
        <w:t>1</w:t>
      </w:r>
      <w:r>
        <w:t>). S</w:t>
      </w:r>
      <w:r w:rsidRPr="7110F824">
        <w:rPr>
          <w:rFonts w:ascii="Arial" w:hAnsi="Arial" w:cs="Arial"/>
        </w:rPr>
        <w:t> </w:t>
      </w:r>
      <w:r>
        <w:t>v</w:t>
      </w:r>
      <w:r w:rsidRPr="7110F824">
        <w:rPr>
          <w:rFonts w:cs="Calibre"/>
        </w:rPr>
        <w:t>í</w:t>
      </w:r>
      <w:r>
        <w:t>ce ne</w:t>
      </w:r>
      <w:r w:rsidRPr="7110F824">
        <w:rPr>
          <w:rFonts w:cs="Calibre"/>
        </w:rPr>
        <w:t>ž</w:t>
      </w:r>
      <w:r>
        <w:t xml:space="preserve"> 100 000 zam</w:t>
      </w:r>
      <w:r w:rsidRPr="7110F824">
        <w:rPr>
          <w:rFonts w:cs="Calibre"/>
        </w:rPr>
        <w:t>ě</w:t>
      </w:r>
      <w:r>
        <w:t>stnanci poskytuje slu</w:t>
      </w:r>
      <w:r w:rsidRPr="7110F824">
        <w:rPr>
          <w:rFonts w:cs="Calibre"/>
        </w:rPr>
        <w:t>ž</w:t>
      </w:r>
      <w:r>
        <w:t>by majitel</w:t>
      </w:r>
      <w:r w:rsidRPr="7110F824">
        <w:rPr>
          <w:rFonts w:cs="Calibre"/>
        </w:rPr>
        <w:t>ů</w:t>
      </w:r>
      <w:r>
        <w:t>m nemovitost</w:t>
      </w:r>
      <w:r w:rsidRPr="7110F824">
        <w:rPr>
          <w:rFonts w:cs="Calibre"/>
        </w:rPr>
        <w:t>í</w:t>
      </w:r>
      <w:r>
        <w:t>, investor</w:t>
      </w:r>
      <w:r w:rsidRPr="7110F824">
        <w:rPr>
          <w:rFonts w:cs="Calibre"/>
        </w:rPr>
        <w:t>ů</w:t>
      </w:r>
      <w:r>
        <w:t>m a n</w:t>
      </w:r>
      <w:r w:rsidRPr="7110F824">
        <w:rPr>
          <w:rFonts w:cs="Calibre"/>
        </w:rPr>
        <w:t>á</w:t>
      </w:r>
      <w:r>
        <w:t>jemn</w:t>
      </w:r>
      <w:r w:rsidRPr="7110F824">
        <w:rPr>
          <w:rFonts w:cs="Calibre"/>
        </w:rPr>
        <w:t>í</w:t>
      </w:r>
      <w:r>
        <w:t>k</w:t>
      </w:r>
      <w:r w:rsidRPr="7110F824">
        <w:rPr>
          <w:rFonts w:cs="Calibre"/>
        </w:rPr>
        <w:t>ů</w:t>
      </w:r>
      <w:r>
        <w:t>m ve v</w:t>
      </w:r>
      <w:r w:rsidRPr="7110F824">
        <w:rPr>
          <w:rFonts w:cs="Calibre"/>
        </w:rPr>
        <w:t>í</w:t>
      </w:r>
      <w:r>
        <w:t>ce ne</w:t>
      </w:r>
      <w:r w:rsidRPr="7110F824">
        <w:rPr>
          <w:rFonts w:cs="Calibre"/>
        </w:rPr>
        <w:t>ž</w:t>
      </w:r>
      <w:r>
        <w:t xml:space="preserve"> 100 zem</w:t>
      </w:r>
      <w:r w:rsidRPr="7110F824">
        <w:rPr>
          <w:rFonts w:cs="Calibre"/>
        </w:rPr>
        <w:t>í</w:t>
      </w:r>
      <w:r>
        <w:t>ch sv</w:t>
      </w:r>
      <w:r w:rsidRPr="7110F824">
        <w:rPr>
          <w:rFonts w:cs="Calibre"/>
        </w:rPr>
        <w:t>ě</w:t>
      </w:r>
      <w:r>
        <w:t xml:space="preserve">ta. Společnost CBRE </w:t>
      </w:r>
      <w:r>
        <w:lastRenderedPageBreak/>
        <w:t>poskytuje širokou škálu integrovaných služeb od správy a</w:t>
      </w:r>
      <w:r w:rsidRPr="7110F824">
        <w:rPr>
          <w:rFonts w:ascii="Arial" w:hAnsi="Arial" w:cs="Arial"/>
        </w:rPr>
        <w:t> </w:t>
      </w:r>
      <w:r w:rsidRPr="7110F824">
        <w:rPr>
          <w:rFonts w:cs="Calibre"/>
        </w:rPr>
        <w:t>ú</w:t>
      </w:r>
      <w:r>
        <w:t>dr</w:t>
      </w:r>
      <w:r w:rsidRPr="7110F824">
        <w:rPr>
          <w:rFonts w:cs="Calibre"/>
        </w:rPr>
        <w:t>ž</w:t>
      </w:r>
      <w:r>
        <w:t>by nemovitost</w:t>
      </w:r>
      <w:r w:rsidRPr="7110F824">
        <w:rPr>
          <w:rFonts w:cs="Calibre"/>
        </w:rPr>
        <w:t>í</w:t>
      </w:r>
      <w:r>
        <w:t>, obchodn</w:t>
      </w:r>
      <w:r w:rsidRPr="7110F824">
        <w:rPr>
          <w:rFonts w:cs="Calibre"/>
        </w:rPr>
        <w:t>í</w:t>
      </w:r>
      <w:r>
        <w:t>ch transakc</w:t>
      </w:r>
      <w:r w:rsidRPr="7110F824">
        <w:rPr>
          <w:rFonts w:cs="Calibre"/>
        </w:rPr>
        <w:t>í</w:t>
      </w:r>
      <w:r>
        <w:t>, projektov</w:t>
      </w:r>
      <w:r w:rsidRPr="7110F824">
        <w:rPr>
          <w:rFonts w:cs="Calibre"/>
        </w:rPr>
        <w:t>é</w:t>
      </w:r>
      <w:r>
        <w:t>ho managementu, investi</w:t>
      </w:r>
      <w:r w:rsidRPr="7110F824">
        <w:rPr>
          <w:rFonts w:cs="Calibre"/>
        </w:rPr>
        <w:t>č</w:t>
      </w:r>
      <w:r>
        <w:t>n</w:t>
      </w:r>
      <w:r w:rsidRPr="7110F824">
        <w:rPr>
          <w:rFonts w:cs="Calibre"/>
        </w:rPr>
        <w:t>í</w:t>
      </w:r>
      <w:r>
        <w:t>ho managementu p</w:t>
      </w:r>
      <w:r w:rsidRPr="7110F824">
        <w:rPr>
          <w:rFonts w:cs="Calibre"/>
        </w:rPr>
        <w:t>ř</w:t>
      </w:r>
      <w:r>
        <w:t>es oce</w:t>
      </w:r>
      <w:r w:rsidRPr="7110F824">
        <w:rPr>
          <w:rFonts w:cs="Calibre"/>
        </w:rPr>
        <w:t>ň</w:t>
      </w:r>
      <w:r>
        <w:t>ov</w:t>
      </w:r>
      <w:r w:rsidRPr="7110F824">
        <w:rPr>
          <w:rFonts w:cs="Calibre"/>
        </w:rPr>
        <w:t>á</w:t>
      </w:r>
      <w:r>
        <w:t>n</w:t>
      </w:r>
      <w:r w:rsidRPr="7110F824">
        <w:rPr>
          <w:rFonts w:cs="Calibre"/>
        </w:rPr>
        <w:t>í</w:t>
      </w:r>
      <w:r>
        <w:t xml:space="preserve"> nemovitost</w:t>
      </w:r>
      <w:r w:rsidRPr="7110F824">
        <w:rPr>
          <w:rFonts w:cs="Calibre"/>
        </w:rPr>
        <w:t>í</w:t>
      </w:r>
      <w:r>
        <w:t>, pron</w:t>
      </w:r>
      <w:r w:rsidRPr="7110F824">
        <w:rPr>
          <w:rFonts w:cs="Calibre"/>
        </w:rPr>
        <w:t>á</w:t>
      </w:r>
      <w:r>
        <w:t>jmu a prodeje nemovitost</w:t>
      </w:r>
      <w:r w:rsidRPr="7110F824">
        <w:rPr>
          <w:rFonts w:cs="Calibre"/>
        </w:rPr>
        <w:t>í</w:t>
      </w:r>
      <w:r>
        <w:t>, strategick</w:t>
      </w:r>
      <w:r w:rsidRPr="7110F824">
        <w:rPr>
          <w:rFonts w:cs="Calibre"/>
        </w:rPr>
        <w:t>é</w:t>
      </w:r>
      <w:r>
        <w:t>ho poradenstv</w:t>
      </w:r>
      <w:r w:rsidRPr="7110F824">
        <w:rPr>
          <w:rFonts w:cs="Calibre"/>
        </w:rPr>
        <w:t>í</w:t>
      </w:r>
      <w:r>
        <w:t xml:space="preserve"> a</w:t>
      </w:r>
      <w:r w:rsidRPr="7110F824">
        <w:rPr>
          <w:rFonts w:cs="Calibre"/>
        </w:rPr>
        <w:t>ž</w:t>
      </w:r>
      <w:r>
        <w:t xml:space="preserve"> po hypoteční a developerské služby. S téměř 350 zaměstnanci CBRE v České republice spravuje téměř 75 objektů komerčních budov o celkové rozloze téměř 1,2 mil. m</w:t>
      </w:r>
      <w:r w:rsidRPr="7110F824">
        <w:rPr>
          <w:vertAlign w:val="superscript"/>
        </w:rPr>
        <w:t>2</w:t>
      </w:r>
      <w:r>
        <w:t>. Pro</w:t>
      </w:r>
      <w:r w:rsidRPr="7110F824">
        <w:rPr>
          <w:rFonts w:ascii="Arial" w:hAnsi="Arial" w:cs="Arial"/>
        </w:rPr>
        <w:t> </w:t>
      </w:r>
      <w:r>
        <w:t>v</w:t>
      </w:r>
      <w:r w:rsidRPr="7110F824">
        <w:rPr>
          <w:rFonts w:cs="Calibre"/>
        </w:rPr>
        <w:t>í</w:t>
      </w:r>
      <w:r>
        <w:t>ce informac</w:t>
      </w:r>
      <w:r w:rsidRPr="7110F824">
        <w:rPr>
          <w:rFonts w:cs="Calibre"/>
        </w:rPr>
        <w:t>í</w:t>
      </w:r>
      <w:r>
        <w:t xml:space="preserve"> nav</w:t>
      </w:r>
      <w:r w:rsidRPr="7110F824">
        <w:rPr>
          <w:rFonts w:cs="Calibre"/>
        </w:rPr>
        <w:t>š</w:t>
      </w:r>
      <w:r>
        <w:t>tivte internetov</w:t>
      </w:r>
      <w:r w:rsidRPr="7110F824">
        <w:rPr>
          <w:rFonts w:cs="Calibre"/>
        </w:rPr>
        <w:t>é</w:t>
      </w:r>
      <w:r>
        <w:t xml:space="preserve"> str</w:t>
      </w:r>
      <w:r w:rsidRPr="7110F824">
        <w:rPr>
          <w:rFonts w:cs="Calibre"/>
        </w:rPr>
        <w:t>á</w:t>
      </w:r>
      <w:r>
        <w:t>nky spole</w:t>
      </w:r>
      <w:r w:rsidRPr="7110F824">
        <w:rPr>
          <w:rFonts w:cs="Calibre"/>
        </w:rPr>
        <w:t>č</w:t>
      </w:r>
      <w:r>
        <w:t xml:space="preserve">nosti na </w:t>
      </w:r>
      <w:hyperlink r:id="rId12">
        <w:r w:rsidRPr="7110F824">
          <w:rPr>
            <w:rStyle w:val="Hypertextovodkaz"/>
          </w:rPr>
          <w:t>www.cbre.cz</w:t>
        </w:r>
      </w:hyperlink>
      <w:r>
        <w:t>.</w:t>
      </w:r>
    </w:p>
    <w:p w14:paraId="23EE3D25" w14:textId="77777777" w:rsidR="00DB7F4A" w:rsidRPr="00B45298" w:rsidRDefault="00DB7F4A" w:rsidP="00784D2C">
      <w:pPr>
        <w:pStyle w:val="Boilerplate"/>
        <w:jc w:val="both"/>
        <w:rPr>
          <w:rFonts w:ascii="Futura Lt BT Light" w:hAnsi="Futura Lt BT Light"/>
        </w:rPr>
      </w:pPr>
      <w:bookmarkStart w:id="0" w:name="_GoBack"/>
      <w:bookmarkEnd w:id="0"/>
    </w:p>
    <w:sectPr w:rsidR="00DB7F4A" w:rsidRPr="00B45298" w:rsidSect="00E01C37">
      <w:headerReference w:type="default" r:id="rId13"/>
      <w:headerReference w:type="first" r:id="rId14"/>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EDAE" w14:textId="77777777" w:rsidR="008548D3" w:rsidRDefault="008548D3" w:rsidP="00C63036">
      <w:r>
        <w:separator/>
      </w:r>
    </w:p>
  </w:endnote>
  <w:endnote w:type="continuationSeparator" w:id="0">
    <w:p w14:paraId="6C92B31D" w14:textId="77777777" w:rsidR="008548D3" w:rsidRDefault="008548D3" w:rsidP="00C63036">
      <w:r>
        <w:continuationSeparator/>
      </w:r>
    </w:p>
  </w:endnote>
  <w:endnote w:type="continuationNotice" w:id="1">
    <w:p w14:paraId="19103E8F" w14:textId="77777777" w:rsidR="008548D3" w:rsidRDefault="0085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orbel"/>
    <w:panose1 w:val="00000000000000000000"/>
    <w:charset w:val="00"/>
    <w:family w:val="swiss"/>
    <w:notTrueType/>
    <w:pitch w:val="variable"/>
    <w:sig w:usb0="00000001" w:usb1="00000000" w:usb2="00000000" w:usb3="00000000" w:csb0="00000093" w:csb1="00000000"/>
  </w:font>
  <w:font w:name="Futura Lt BT Light">
    <w:altName w:val="Century Gothic"/>
    <w:charset w:val="00"/>
    <w:family w:val="auto"/>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B4F5" w14:textId="77777777" w:rsidR="008548D3" w:rsidRDefault="008548D3" w:rsidP="00C63036">
      <w:r>
        <w:separator/>
      </w:r>
    </w:p>
  </w:footnote>
  <w:footnote w:type="continuationSeparator" w:id="0">
    <w:p w14:paraId="3EEC6842" w14:textId="77777777" w:rsidR="008548D3" w:rsidRDefault="008548D3" w:rsidP="00C63036">
      <w:r>
        <w:continuationSeparator/>
      </w:r>
    </w:p>
  </w:footnote>
  <w:footnote w:type="continuationNotice" w:id="1">
    <w:p w14:paraId="5C7D821A" w14:textId="77777777" w:rsidR="008548D3" w:rsidRDefault="008548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6D891194" w:rsidR="00115F2F" w:rsidRPr="006F397C" w:rsidRDefault="7110F824" w:rsidP="0094537E">
    <w:pPr>
      <w:pStyle w:val="Zhlav"/>
      <w:jc w:val="right"/>
    </w:pPr>
    <w:r w:rsidRPr="7110F824">
      <w:rPr>
        <w:rFonts w:ascii="Calibre" w:hAnsi="Calibre"/>
        <w:color w:val="003D30" w:themeColor="accent6"/>
        <w:sz w:val="16"/>
        <w:szCs w:val="16"/>
      </w:rPr>
      <w:t>CBRE Tisková zpráva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115F2F" w:rsidRDefault="00115F2F">
    <w:pPr>
      <w:pStyle w:val="Zhlav"/>
    </w:pPr>
    <w:r w:rsidRPr="00F51DB7">
      <w:rPr>
        <w:noProof/>
        <w:lang w:eastAsia="cs-CZ"/>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B9F26E5">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269DB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v:stroke joinstyle="miter"/>
              <w10:wrap anchorx="margin"/>
            </v:line>
          </w:pict>
        </mc:Fallback>
      </mc:AlternateContent>
    </w:r>
    <w:r w:rsidRPr="00F51DB7">
      <w:rPr>
        <w:noProof/>
        <w:lang w:eastAsia="cs-CZ"/>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eastAsia="cs-CZ"/>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w:t>
                          </w:r>
                          <w:proofErr w:type="spellStart"/>
                          <w:r w:rsidRPr="00F413B0">
                            <w:rPr>
                              <w:b/>
                              <w:bCs/>
                              <w:color w:val="003F2D"/>
                              <w:spacing w:val="-20"/>
                              <w:sz w:val="80"/>
                              <w:szCs w:val="80"/>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w:t>
                    </w:r>
                    <w:proofErr w:type="spellStart"/>
                    <w:r w:rsidRPr="00F413B0">
                      <w:rPr>
                        <w:b/>
                        <w:bCs/>
                        <w:color w:val="003F2D"/>
                        <w:spacing w:val="-20"/>
                        <w:sz w:val="80"/>
                        <w:szCs w:val="80"/>
                      </w:rPr>
                      <w:t>Release</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098"/>
    <w:multiLevelType w:val="hybridMultilevel"/>
    <w:tmpl w:val="82D6F2A4"/>
    <w:lvl w:ilvl="0" w:tplc="48509C48">
      <w:start w:val="1"/>
      <w:numFmt w:val="bullet"/>
      <w:lvlText w:val=""/>
      <w:lvlJc w:val="left"/>
      <w:pPr>
        <w:ind w:left="720" w:hanging="360"/>
      </w:pPr>
      <w:rPr>
        <w:rFonts w:ascii="Wingdings" w:hAnsi="Wingdings" w:hint="default"/>
      </w:rPr>
    </w:lvl>
    <w:lvl w:ilvl="1" w:tplc="094AACC2">
      <w:start w:val="1"/>
      <w:numFmt w:val="bullet"/>
      <w:lvlText w:val="o"/>
      <w:lvlJc w:val="left"/>
      <w:pPr>
        <w:ind w:left="1440" w:hanging="360"/>
      </w:pPr>
      <w:rPr>
        <w:rFonts w:ascii="Courier New" w:hAnsi="Courier New" w:hint="default"/>
      </w:rPr>
    </w:lvl>
    <w:lvl w:ilvl="2" w:tplc="365E28F0">
      <w:start w:val="1"/>
      <w:numFmt w:val="bullet"/>
      <w:lvlText w:val=""/>
      <w:lvlJc w:val="left"/>
      <w:pPr>
        <w:ind w:left="2160" w:hanging="360"/>
      </w:pPr>
      <w:rPr>
        <w:rFonts w:ascii="Wingdings" w:hAnsi="Wingdings" w:hint="default"/>
      </w:rPr>
    </w:lvl>
    <w:lvl w:ilvl="3" w:tplc="D842DA2A">
      <w:start w:val="1"/>
      <w:numFmt w:val="bullet"/>
      <w:lvlText w:val=""/>
      <w:lvlJc w:val="left"/>
      <w:pPr>
        <w:ind w:left="2880" w:hanging="360"/>
      </w:pPr>
      <w:rPr>
        <w:rFonts w:ascii="Symbol" w:hAnsi="Symbol" w:hint="default"/>
      </w:rPr>
    </w:lvl>
    <w:lvl w:ilvl="4" w:tplc="2B20C030">
      <w:start w:val="1"/>
      <w:numFmt w:val="bullet"/>
      <w:lvlText w:val="o"/>
      <w:lvlJc w:val="left"/>
      <w:pPr>
        <w:ind w:left="3600" w:hanging="360"/>
      </w:pPr>
      <w:rPr>
        <w:rFonts w:ascii="Courier New" w:hAnsi="Courier New" w:hint="default"/>
      </w:rPr>
    </w:lvl>
    <w:lvl w:ilvl="5" w:tplc="7F8A6AF8">
      <w:start w:val="1"/>
      <w:numFmt w:val="bullet"/>
      <w:lvlText w:val=""/>
      <w:lvlJc w:val="left"/>
      <w:pPr>
        <w:ind w:left="4320" w:hanging="360"/>
      </w:pPr>
      <w:rPr>
        <w:rFonts w:ascii="Wingdings" w:hAnsi="Wingdings" w:hint="default"/>
      </w:rPr>
    </w:lvl>
    <w:lvl w:ilvl="6" w:tplc="12C2F62E">
      <w:start w:val="1"/>
      <w:numFmt w:val="bullet"/>
      <w:lvlText w:val=""/>
      <w:lvlJc w:val="left"/>
      <w:pPr>
        <w:ind w:left="5040" w:hanging="360"/>
      </w:pPr>
      <w:rPr>
        <w:rFonts w:ascii="Symbol" w:hAnsi="Symbol" w:hint="default"/>
      </w:rPr>
    </w:lvl>
    <w:lvl w:ilvl="7" w:tplc="F7644604">
      <w:start w:val="1"/>
      <w:numFmt w:val="bullet"/>
      <w:lvlText w:val="o"/>
      <w:lvlJc w:val="left"/>
      <w:pPr>
        <w:ind w:left="5760" w:hanging="360"/>
      </w:pPr>
      <w:rPr>
        <w:rFonts w:ascii="Courier New" w:hAnsi="Courier New" w:hint="default"/>
      </w:rPr>
    </w:lvl>
    <w:lvl w:ilvl="8" w:tplc="5DB0C504">
      <w:start w:val="1"/>
      <w:numFmt w:val="bullet"/>
      <w:lvlText w:val=""/>
      <w:lvlJc w:val="left"/>
      <w:pPr>
        <w:ind w:left="6480" w:hanging="360"/>
      </w:pPr>
      <w:rPr>
        <w:rFonts w:ascii="Wingdings" w:hAnsi="Wingdings" w:hint="default"/>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ascii="Calibri" w:hAnsi="Calibri" w:hint="default"/>
      </w:rPr>
    </w:lvl>
    <w:lvl w:ilvl="1" w:tplc="49723232">
      <w:start w:val="1"/>
      <w:numFmt w:val="bullet"/>
      <w:lvlText w:val="o"/>
      <w:lvlJc w:val="left"/>
      <w:pPr>
        <w:ind w:left="1440" w:hanging="360"/>
      </w:pPr>
      <w:rPr>
        <w:rFonts w:ascii="Courier New" w:hAnsi="Courier New" w:hint="default"/>
      </w:rPr>
    </w:lvl>
    <w:lvl w:ilvl="2" w:tplc="13CA8244">
      <w:start w:val="1"/>
      <w:numFmt w:val="bullet"/>
      <w:lvlText w:val=""/>
      <w:lvlJc w:val="left"/>
      <w:pPr>
        <w:ind w:left="2160" w:hanging="360"/>
      </w:pPr>
      <w:rPr>
        <w:rFonts w:ascii="Wingdings" w:hAnsi="Wingdings" w:hint="default"/>
      </w:rPr>
    </w:lvl>
    <w:lvl w:ilvl="3" w:tplc="08AC2222">
      <w:start w:val="1"/>
      <w:numFmt w:val="bullet"/>
      <w:lvlText w:val=""/>
      <w:lvlJc w:val="left"/>
      <w:pPr>
        <w:ind w:left="2880" w:hanging="360"/>
      </w:pPr>
      <w:rPr>
        <w:rFonts w:ascii="Symbol" w:hAnsi="Symbol" w:hint="default"/>
      </w:rPr>
    </w:lvl>
    <w:lvl w:ilvl="4" w:tplc="FE68A4A6">
      <w:start w:val="1"/>
      <w:numFmt w:val="bullet"/>
      <w:lvlText w:val="o"/>
      <w:lvlJc w:val="left"/>
      <w:pPr>
        <w:ind w:left="3600" w:hanging="360"/>
      </w:pPr>
      <w:rPr>
        <w:rFonts w:ascii="Courier New" w:hAnsi="Courier New" w:hint="default"/>
      </w:rPr>
    </w:lvl>
    <w:lvl w:ilvl="5" w:tplc="DD187B84">
      <w:start w:val="1"/>
      <w:numFmt w:val="bullet"/>
      <w:lvlText w:val=""/>
      <w:lvlJc w:val="left"/>
      <w:pPr>
        <w:ind w:left="4320" w:hanging="360"/>
      </w:pPr>
      <w:rPr>
        <w:rFonts w:ascii="Wingdings" w:hAnsi="Wingdings" w:hint="default"/>
      </w:rPr>
    </w:lvl>
    <w:lvl w:ilvl="6" w:tplc="DC0A0208">
      <w:start w:val="1"/>
      <w:numFmt w:val="bullet"/>
      <w:lvlText w:val=""/>
      <w:lvlJc w:val="left"/>
      <w:pPr>
        <w:ind w:left="5040" w:hanging="360"/>
      </w:pPr>
      <w:rPr>
        <w:rFonts w:ascii="Symbol" w:hAnsi="Symbol" w:hint="default"/>
      </w:rPr>
    </w:lvl>
    <w:lvl w:ilvl="7" w:tplc="3AD8F9B8">
      <w:start w:val="1"/>
      <w:numFmt w:val="bullet"/>
      <w:lvlText w:val="o"/>
      <w:lvlJc w:val="left"/>
      <w:pPr>
        <w:ind w:left="5760" w:hanging="360"/>
      </w:pPr>
      <w:rPr>
        <w:rFonts w:ascii="Courier New" w:hAnsi="Courier New" w:hint="default"/>
      </w:rPr>
    </w:lvl>
    <w:lvl w:ilvl="8" w:tplc="9C5AA324">
      <w:start w:val="1"/>
      <w:numFmt w:val="bullet"/>
      <w:lvlText w:val=""/>
      <w:lvlJc w:val="left"/>
      <w:pPr>
        <w:ind w:left="6480" w:hanging="360"/>
      </w:pPr>
      <w:rPr>
        <w:rFonts w:ascii="Wingdings" w:hAnsi="Wingdings" w:hint="default"/>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8B5ACD"/>
    <w:multiLevelType w:val="hybridMultilevel"/>
    <w:tmpl w:val="A9AE1370"/>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70373"/>
    <w:multiLevelType w:val="hybridMultilevel"/>
    <w:tmpl w:val="E6A83BA0"/>
    <w:lvl w:ilvl="0" w:tplc="D7A8F926">
      <w:start w:val="1"/>
      <w:numFmt w:val="bullet"/>
      <w:lvlText w:val=""/>
      <w:lvlJc w:val="left"/>
      <w:pPr>
        <w:ind w:left="720" w:hanging="360"/>
      </w:pPr>
      <w:rPr>
        <w:rFonts w:ascii="Symbol" w:hAnsi="Symbol" w:hint="default"/>
      </w:rPr>
    </w:lvl>
    <w:lvl w:ilvl="1" w:tplc="CE8A3992">
      <w:start w:val="1"/>
      <w:numFmt w:val="bullet"/>
      <w:lvlText w:val="o"/>
      <w:lvlJc w:val="left"/>
      <w:pPr>
        <w:ind w:left="1440" w:hanging="360"/>
      </w:pPr>
      <w:rPr>
        <w:rFonts w:ascii="Courier New" w:hAnsi="Courier New" w:hint="default"/>
      </w:rPr>
    </w:lvl>
    <w:lvl w:ilvl="2" w:tplc="241CD370">
      <w:start w:val="1"/>
      <w:numFmt w:val="bullet"/>
      <w:lvlText w:val=""/>
      <w:lvlJc w:val="left"/>
      <w:pPr>
        <w:ind w:left="2160" w:hanging="360"/>
      </w:pPr>
      <w:rPr>
        <w:rFonts w:ascii="Wingdings" w:hAnsi="Wingdings" w:hint="default"/>
      </w:rPr>
    </w:lvl>
    <w:lvl w:ilvl="3" w:tplc="F7DAEFAE">
      <w:start w:val="1"/>
      <w:numFmt w:val="bullet"/>
      <w:lvlText w:val=""/>
      <w:lvlJc w:val="left"/>
      <w:pPr>
        <w:ind w:left="2880" w:hanging="360"/>
      </w:pPr>
      <w:rPr>
        <w:rFonts w:ascii="Symbol" w:hAnsi="Symbol" w:hint="default"/>
      </w:rPr>
    </w:lvl>
    <w:lvl w:ilvl="4" w:tplc="A31E3B38">
      <w:start w:val="1"/>
      <w:numFmt w:val="bullet"/>
      <w:lvlText w:val="o"/>
      <w:lvlJc w:val="left"/>
      <w:pPr>
        <w:ind w:left="3600" w:hanging="360"/>
      </w:pPr>
      <w:rPr>
        <w:rFonts w:ascii="Courier New" w:hAnsi="Courier New" w:hint="default"/>
      </w:rPr>
    </w:lvl>
    <w:lvl w:ilvl="5" w:tplc="1F125498">
      <w:start w:val="1"/>
      <w:numFmt w:val="bullet"/>
      <w:lvlText w:val=""/>
      <w:lvlJc w:val="left"/>
      <w:pPr>
        <w:ind w:left="4320" w:hanging="360"/>
      </w:pPr>
      <w:rPr>
        <w:rFonts w:ascii="Wingdings" w:hAnsi="Wingdings" w:hint="default"/>
      </w:rPr>
    </w:lvl>
    <w:lvl w:ilvl="6" w:tplc="BBBCBB5C">
      <w:start w:val="1"/>
      <w:numFmt w:val="bullet"/>
      <w:lvlText w:val=""/>
      <w:lvlJc w:val="left"/>
      <w:pPr>
        <w:ind w:left="5040" w:hanging="360"/>
      </w:pPr>
      <w:rPr>
        <w:rFonts w:ascii="Symbol" w:hAnsi="Symbol" w:hint="default"/>
      </w:rPr>
    </w:lvl>
    <w:lvl w:ilvl="7" w:tplc="551A534C">
      <w:start w:val="1"/>
      <w:numFmt w:val="bullet"/>
      <w:lvlText w:val="o"/>
      <w:lvlJc w:val="left"/>
      <w:pPr>
        <w:ind w:left="5760" w:hanging="360"/>
      </w:pPr>
      <w:rPr>
        <w:rFonts w:ascii="Courier New" w:hAnsi="Courier New" w:hint="default"/>
      </w:rPr>
    </w:lvl>
    <w:lvl w:ilvl="8" w:tplc="E4984C56">
      <w:start w:val="1"/>
      <w:numFmt w:val="bullet"/>
      <w:lvlText w:val=""/>
      <w:lvlJc w:val="left"/>
      <w:pPr>
        <w:ind w:left="6480" w:hanging="360"/>
      </w:pPr>
      <w:rPr>
        <w:rFonts w:ascii="Wingdings" w:hAnsi="Wingdings" w:hint="default"/>
      </w:rPr>
    </w:lvl>
  </w:abstractNum>
  <w:abstractNum w:abstractNumId="11"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E52FCA"/>
    <w:multiLevelType w:val="hybridMultilevel"/>
    <w:tmpl w:val="166EC9E0"/>
    <w:lvl w:ilvl="0" w:tplc="7062C3F8">
      <w:numFmt w:val="bullet"/>
      <w:lvlText w:val="•"/>
      <w:lvlJc w:val="left"/>
      <w:pPr>
        <w:ind w:left="1440" w:hanging="72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F687567"/>
    <w:multiLevelType w:val="hybridMultilevel"/>
    <w:tmpl w:val="9FC4A3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3"/>
  </w:num>
  <w:num w:numId="3">
    <w:abstractNumId w:val="0"/>
  </w:num>
  <w:num w:numId="4">
    <w:abstractNumId w:val="11"/>
  </w:num>
  <w:num w:numId="5">
    <w:abstractNumId w:val="8"/>
  </w:num>
  <w:num w:numId="6">
    <w:abstractNumId w:val="14"/>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3"/>
  </w:num>
  <w:num w:numId="16">
    <w:abstractNumId w:val="6"/>
  </w:num>
  <w:num w:numId="17">
    <w:abstractNumId w:val="9"/>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7D"/>
    <w:rsid w:val="00001EF2"/>
    <w:rsid w:val="00006B35"/>
    <w:rsid w:val="00011123"/>
    <w:rsid w:val="00013C3C"/>
    <w:rsid w:val="00022DFB"/>
    <w:rsid w:val="00024C27"/>
    <w:rsid w:val="00027BFC"/>
    <w:rsid w:val="000323F9"/>
    <w:rsid w:val="00034D71"/>
    <w:rsid w:val="00034E77"/>
    <w:rsid w:val="00036013"/>
    <w:rsid w:val="00036703"/>
    <w:rsid w:val="000430C3"/>
    <w:rsid w:val="00047123"/>
    <w:rsid w:val="0005236C"/>
    <w:rsid w:val="000605A8"/>
    <w:rsid w:val="000610B5"/>
    <w:rsid w:val="00064421"/>
    <w:rsid w:val="00064B63"/>
    <w:rsid w:val="00066A5D"/>
    <w:rsid w:val="00073176"/>
    <w:rsid w:val="00073D69"/>
    <w:rsid w:val="00076B7D"/>
    <w:rsid w:val="00082A11"/>
    <w:rsid w:val="00083332"/>
    <w:rsid w:val="00084292"/>
    <w:rsid w:val="000852B4"/>
    <w:rsid w:val="000945C6"/>
    <w:rsid w:val="000963FA"/>
    <w:rsid w:val="000978B8"/>
    <w:rsid w:val="000A4CDC"/>
    <w:rsid w:val="000A542D"/>
    <w:rsid w:val="000A645F"/>
    <w:rsid w:val="000B16DF"/>
    <w:rsid w:val="000B2630"/>
    <w:rsid w:val="000B63A2"/>
    <w:rsid w:val="000B7E88"/>
    <w:rsid w:val="000C042E"/>
    <w:rsid w:val="000C0ED9"/>
    <w:rsid w:val="000C2615"/>
    <w:rsid w:val="000C2C26"/>
    <w:rsid w:val="000D0E06"/>
    <w:rsid w:val="000D2F28"/>
    <w:rsid w:val="000D5A36"/>
    <w:rsid w:val="000D5EA2"/>
    <w:rsid w:val="000E0AD7"/>
    <w:rsid w:val="000E1B25"/>
    <w:rsid w:val="000E3EC9"/>
    <w:rsid w:val="000E513F"/>
    <w:rsid w:val="000E526C"/>
    <w:rsid w:val="000E7A71"/>
    <w:rsid w:val="000F00C6"/>
    <w:rsid w:val="0010048E"/>
    <w:rsid w:val="001037B7"/>
    <w:rsid w:val="00104BD1"/>
    <w:rsid w:val="0011164C"/>
    <w:rsid w:val="00115F2F"/>
    <w:rsid w:val="001239D5"/>
    <w:rsid w:val="00140E0A"/>
    <w:rsid w:val="001417A0"/>
    <w:rsid w:val="00144797"/>
    <w:rsid w:val="00146D69"/>
    <w:rsid w:val="00146E80"/>
    <w:rsid w:val="00152263"/>
    <w:rsid w:val="00152866"/>
    <w:rsid w:val="001607B0"/>
    <w:rsid w:val="00161A49"/>
    <w:rsid w:val="00165AEE"/>
    <w:rsid w:val="00171104"/>
    <w:rsid w:val="00175E2E"/>
    <w:rsid w:val="00177CB0"/>
    <w:rsid w:val="00185C3B"/>
    <w:rsid w:val="001918FD"/>
    <w:rsid w:val="0019428F"/>
    <w:rsid w:val="00195F3D"/>
    <w:rsid w:val="001A0575"/>
    <w:rsid w:val="001A511A"/>
    <w:rsid w:val="001C3456"/>
    <w:rsid w:val="001C4003"/>
    <w:rsid w:val="001C5E35"/>
    <w:rsid w:val="001C65FC"/>
    <w:rsid w:val="001E20EF"/>
    <w:rsid w:val="001E24E3"/>
    <w:rsid w:val="001E260E"/>
    <w:rsid w:val="001E4D37"/>
    <w:rsid w:val="001E4EE5"/>
    <w:rsid w:val="001E57DD"/>
    <w:rsid w:val="001F3007"/>
    <w:rsid w:val="001F45AB"/>
    <w:rsid w:val="001F758F"/>
    <w:rsid w:val="001F7792"/>
    <w:rsid w:val="001F77D0"/>
    <w:rsid w:val="00201D5E"/>
    <w:rsid w:val="002054D4"/>
    <w:rsid w:val="00206799"/>
    <w:rsid w:val="002068B0"/>
    <w:rsid w:val="00207A72"/>
    <w:rsid w:val="0021614D"/>
    <w:rsid w:val="002230E1"/>
    <w:rsid w:val="0022327F"/>
    <w:rsid w:val="00223919"/>
    <w:rsid w:val="00224284"/>
    <w:rsid w:val="00226F5A"/>
    <w:rsid w:val="0023028A"/>
    <w:rsid w:val="00230A52"/>
    <w:rsid w:val="00232670"/>
    <w:rsid w:val="00237EAC"/>
    <w:rsid w:val="00252372"/>
    <w:rsid w:val="002548CC"/>
    <w:rsid w:val="00262BA0"/>
    <w:rsid w:val="0026361D"/>
    <w:rsid w:val="002657ED"/>
    <w:rsid w:val="00266A9E"/>
    <w:rsid w:val="002674DC"/>
    <w:rsid w:val="00267AD2"/>
    <w:rsid w:val="00273413"/>
    <w:rsid w:val="00276E24"/>
    <w:rsid w:val="00287942"/>
    <w:rsid w:val="00293D28"/>
    <w:rsid w:val="00294495"/>
    <w:rsid w:val="002A261E"/>
    <w:rsid w:val="002A6160"/>
    <w:rsid w:val="002B1303"/>
    <w:rsid w:val="002C227D"/>
    <w:rsid w:val="002C36AD"/>
    <w:rsid w:val="002C5CA1"/>
    <w:rsid w:val="002C64B4"/>
    <w:rsid w:val="002C7021"/>
    <w:rsid w:val="002C7033"/>
    <w:rsid w:val="002C7BCA"/>
    <w:rsid w:val="002C98C0"/>
    <w:rsid w:val="002D06D1"/>
    <w:rsid w:val="002E1BB9"/>
    <w:rsid w:val="002E3A2F"/>
    <w:rsid w:val="002E3D27"/>
    <w:rsid w:val="002E54FA"/>
    <w:rsid w:val="002E7C8A"/>
    <w:rsid w:val="002F2B5C"/>
    <w:rsid w:val="002F3F59"/>
    <w:rsid w:val="003007B4"/>
    <w:rsid w:val="003033AF"/>
    <w:rsid w:val="00303571"/>
    <w:rsid w:val="00311123"/>
    <w:rsid w:val="00313FE7"/>
    <w:rsid w:val="003166CF"/>
    <w:rsid w:val="00323E55"/>
    <w:rsid w:val="0032734C"/>
    <w:rsid w:val="0033036E"/>
    <w:rsid w:val="00330A0E"/>
    <w:rsid w:val="003326D7"/>
    <w:rsid w:val="00336BC6"/>
    <w:rsid w:val="00347358"/>
    <w:rsid w:val="003509E7"/>
    <w:rsid w:val="00364A3D"/>
    <w:rsid w:val="00364ACC"/>
    <w:rsid w:val="0037184B"/>
    <w:rsid w:val="003759D2"/>
    <w:rsid w:val="003762E9"/>
    <w:rsid w:val="0037BECA"/>
    <w:rsid w:val="003805B8"/>
    <w:rsid w:val="00383844"/>
    <w:rsid w:val="00385EC2"/>
    <w:rsid w:val="003879FD"/>
    <w:rsid w:val="0039F7DB"/>
    <w:rsid w:val="003A0E82"/>
    <w:rsid w:val="003A1D26"/>
    <w:rsid w:val="003A362E"/>
    <w:rsid w:val="003A4ACE"/>
    <w:rsid w:val="003A5886"/>
    <w:rsid w:val="003A744E"/>
    <w:rsid w:val="003B0B9B"/>
    <w:rsid w:val="003B280F"/>
    <w:rsid w:val="003B2B61"/>
    <w:rsid w:val="003B3643"/>
    <w:rsid w:val="003B3C1C"/>
    <w:rsid w:val="003B44F1"/>
    <w:rsid w:val="003B4A19"/>
    <w:rsid w:val="003B4BE6"/>
    <w:rsid w:val="003B5E82"/>
    <w:rsid w:val="003B646C"/>
    <w:rsid w:val="003B708F"/>
    <w:rsid w:val="003D3477"/>
    <w:rsid w:val="003D5DAD"/>
    <w:rsid w:val="003E1AC7"/>
    <w:rsid w:val="003E4EA9"/>
    <w:rsid w:val="003E5565"/>
    <w:rsid w:val="003F3C34"/>
    <w:rsid w:val="004004C4"/>
    <w:rsid w:val="0040396C"/>
    <w:rsid w:val="00404771"/>
    <w:rsid w:val="00405157"/>
    <w:rsid w:val="004057D0"/>
    <w:rsid w:val="00407C9E"/>
    <w:rsid w:val="004113B2"/>
    <w:rsid w:val="00417299"/>
    <w:rsid w:val="00421E65"/>
    <w:rsid w:val="00423455"/>
    <w:rsid w:val="00424070"/>
    <w:rsid w:val="0042428B"/>
    <w:rsid w:val="00425DDB"/>
    <w:rsid w:val="00425E49"/>
    <w:rsid w:val="00430C4F"/>
    <w:rsid w:val="00430EB5"/>
    <w:rsid w:val="004347E2"/>
    <w:rsid w:val="00442EEC"/>
    <w:rsid w:val="00444E11"/>
    <w:rsid w:val="00447D48"/>
    <w:rsid w:val="00452C9F"/>
    <w:rsid w:val="00460E50"/>
    <w:rsid w:val="00466234"/>
    <w:rsid w:val="00474060"/>
    <w:rsid w:val="004751F9"/>
    <w:rsid w:val="004770D3"/>
    <w:rsid w:val="00480C87"/>
    <w:rsid w:val="004833D9"/>
    <w:rsid w:val="00485562"/>
    <w:rsid w:val="00491A18"/>
    <w:rsid w:val="00491E6E"/>
    <w:rsid w:val="0049430D"/>
    <w:rsid w:val="004967E4"/>
    <w:rsid w:val="00496864"/>
    <w:rsid w:val="004A445A"/>
    <w:rsid w:val="004A4C0D"/>
    <w:rsid w:val="004A6446"/>
    <w:rsid w:val="004B5AEC"/>
    <w:rsid w:val="004B681A"/>
    <w:rsid w:val="004C3FAA"/>
    <w:rsid w:val="004C4C0A"/>
    <w:rsid w:val="004C4FA3"/>
    <w:rsid w:val="004C548A"/>
    <w:rsid w:val="004C5F4E"/>
    <w:rsid w:val="004D2BC5"/>
    <w:rsid w:val="004D3EEF"/>
    <w:rsid w:val="004D46E1"/>
    <w:rsid w:val="004E27E2"/>
    <w:rsid w:val="004E2EE7"/>
    <w:rsid w:val="00502ED9"/>
    <w:rsid w:val="00503209"/>
    <w:rsid w:val="005035B4"/>
    <w:rsid w:val="0050793C"/>
    <w:rsid w:val="00512BD9"/>
    <w:rsid w:val="00514E8C"/>
    <w:rsid w:val="005207FD"/>
    <w:rsid w:val="00521BCC"/>
    <w:rsid w:val="00521CAB"/>
    <w:rsid w:val="00537A0F"/>
    <w:rsid w:val="00543D63"/>
    <w:rsid w:val="00544DD2"/>
    <w:rsid w:val="00545FCD"/>
    <w:rsid w:val="0054772F"/>
    <w:rsid w:val="00552462"/>
    <w:rsid w:val="00553A6F"/>
    <w:rsid w:val="00554FEE"/>
    <w:rsid w:val="00555E73"/>
    <w:rsid w:val="0055626C"/>
    <w:rsid w:val="005668D7"/>
    <w:rsid w:val="00576FD6"/>
    <w:rsid w:val="00582CA9"/>
    <w:rsid w:val="00584E27"/>
    <w:rsid w:val="00585175"/>
    <w:rsid w:val="005B0E68"/>
    <w:rsid w:val="005B12FD"/>
    <w:rsid w:val="005B3B0D"/>
    <w:rsid w:val="005B4C25"/>
    <w:rsid w:val="005C1520"/>
    <w:rsid w:val="005C1891"/>
    <w:rsid w:val="005C22BE"/>
    <w:rsid w:val="005C3018"/>
    <w:rsid w:val="005C51FE"/>
    <w:rsid w:val="005C6701"/>
    <w:rsid w:val="005D117E"/>
    <w:rsid w:val="005D7669"/>
    <w:rsid w:val="005E0CCD"/>
    <w:rsid w:val="005E190B"/>
    <w:rsid w:val="005E2E39"/>
    <w:rsid w:val="005E33FC"/>
    <w:rsid w:val="005E77E6"/>
    <w:rsid w:val="005F0A6A"/>
    <w:rsid w:val="005F7F99"/>
    <w:rsid w:val="006014CD"/>
    <w:rsid w:val="00601627"/>
    <w:rsid w:val="00601D80"/>
    <w:rsid w:val="00601D8C"/>
    <w:rsid w:val="006069F2"/>
    <w:rsid w:val="006077F7"/>
    <w:rsid w:val="00611710"/>
    <w:rsid w:val="00612C44"/>
    <w:rsid w:val="00616375"/>
    <w:rsid w:val="00620D13"/>
    <w:rsid w:val="00621978"/>
    <w:rsid w:val="00626571"/>
    <w:rsid w:val="0063267C"/>
    <w:rsid w:val="006347DD"/>
    <w:rsid w:val="0063505D"/>
    <w:rsid w:val="00635095"/>
    <w:rsid w:val="006366C2"/>
    <w:rsid w:val="00641D3C"/>
    <w:rsid w:val="00643734"/>
    <w:rsid w:val="00661ABD"/>
    <w:rsid w:val="006665B5"/>
    <w:rsid w:val="00666716"/>
    <w:rsid w:val="006669A9"/>
    <w:rsid w:val="00670C77"/>
    <w:rsid w:val="006725EE"/>
    <w:rsid w:val="00672E63"/>
    <w:rsid w:val="006738F2"/>
    <w:rsid w:val="006812FD"/>
    <w:rsid w:val="006828C4"/>
    <w:rsid w:val="00685808"/>
    <w:rsid w:val="00686097"/>
    <w:rsid w:val="00690DBA"/>
    <w:rsid w:val="00692AC5"/>
    <w:rsid w:val="006A0C5B"/>
    <w:rsid w:val="006A0EEA"/>
    <w:rsid w:val="006A1A3A"/>
    <w:rsid w:val="006A1FA6"/>
    <w:rsid w:val="006A35F1"/>
    <w:rsid w:val="006A4D92"/>
    <w:rsid w:val="006B152B"/>
    <w:rsid w:val="006B18D6"/>
    <w:rsid w:val="006B3288"/>
    <w:rsid w:val="006B457A"/>
    <w:rsid w:val="006C2970"/>
    <w:rsid w:val="006C3991"/>
    <w:rsid w:val="006C7D7C"/>
    <w:rsid w:val="006D13B7"/>
    <w:rsid w:val="006D60F7"/>
    <w:rsid w:val="006D63A5"/>
    <w:rsid w:val="006E2456"/>
    <w:rsid w:val="006E44C4"/>
    <w:rsid w:val="006E5066"/>
    <w:rsid w:val="006E75FE"/>
    <w:rsid w:val="006F1C7F"/>
    <w:rsid w:val="006F397C"/>
    <w:rsid w:val="007001C2"/>
    <w:rsid w:val="00700D68"/>
    <w:rsid w:val="00704CD1"/>
    <w:rsid w:val="00715225"/>
    <w:rsid w:val="00716A5B"/>
    <w:rsid w:val="007176C8"/>
    <w:rsid w:val="00721C63"/>
    <w:rsid w:val="00721EF9"/>
    <w:rsid w:val="00722C2A"/>
    <w:rsid w:val="00724A94"/>
    <w:rsid w:val="00725AC5"/>
    <w:rsid w:val="00730D61"/>
    <w:rsid w:val="00732D46"/>
    <w:rsid w:val="007338EB"/>
    <w:rsid w:val="00736F66"/>
    <w:rsid w:val="00736FC2"/>
    <w:rsid w:val="00740BDE"/>
    <w:rsid w:val="00742D8F"/>
    <w:rsid w:val="00746CEA"/>
    <w:rsid w:val="007542AD"/>
    <w:rsid w:val="00764665"/>
    <w:rsid w:val="00765ED1"/>
    <w:rsid w:val="007678F4"/>
    <w:rsid w:val="00771910"/>
    <w:rsid w:val="00771DF2"/>
    <w:rsid w:val="007728A4"/>
    <w:rsid w:val="007763E8"/>
    <w:rsid w:val="00784715"/>
    <w:rsid w:val="00784D2C"/>
    <w:rsid w:val="00790F26"/>
    <w:rsid w:val="00792E27"/>
    <w:rsid w:val="00793423"/>
    <w:rsid w:val="00794597"/>
    <w:rsid w:val="00796B0F"/>
    <w:rsid w:val="00797AAD"/>
    <w:rsid w:val="007A0900"/>
    <w:rsid w:val="007A0EE0"/>
    <w:rsid w:val="007A29ED"/>
    <w:rsid w:val="007A3613"/>
    <w:rsid w:val="007A3C6C"/>
    <w:rsid w:val="007A6A30"/>
    <w:rsid w:val="007A6E57"/>
    <w:rsid w:val="007A7D89"/>
    <w:rsid w:val="007B12E7"/>
    <w:rsid w:val="007B35F1"/>
    <w:rsid w:val="007C1420"/>
    <w:rsid w:val="007C52F1"/>
    <w:rsid w:val="007C5481"/>
    <w:rsid w:val="007C55CE"/>
    <w:rsid w:val="007C59B2"/>
    <w:rsid w:val="007D68F8"/>
    <w:rsid w:val="007D6DE1"/>
    <w:rsid w:val="007D712D"/>
    <w:rsid w:val="007E236C"/>
    <w:rsid w:val="007E352A"/>
    <w:rsid w:val="007E366F"/>
    <w:rsid w:val="007E3C90"/>
    <w:rsid w:val="007E5CDB"/>
    <w:rsid w:val="007F53DE"/>
    <w:rsid w:val="0080411D"/>
    <w:rsid w:val="00805C6A"/>
    <w:rsid w:val="008148C5"/>
    <w:rsid w:val="00825E78"/>
    <w:rsid w:val="0082774B"/>
    <w:rsid w:val="00827B5F"/>
    <w:rsid w:val="00832B51"/>
    <w:rsid w:val="00835C63"/>
    <w:rsid w:val="00845A63"/>
    <w:rsid w:val="00847BA1"/>
    <w:rsid w:val="00850802"/>
    <w:rsid w:val="00854777"/>
    <w:rsid w:val="008548D3"/>
    <w:rsid w:val="008554DD"/>
    <w:rsid w:val="008621C5"/>
    <w:rsid w:val="00864E50"/>
    <w:rsid w:val="0086674D"/>
    <w:rsid w:val="0087138D"/>
    <w:rsid w:val="0087550E"/>
    <w:rsid w:val="00881D34"/>
    <w:rsid w:val="008903B4"/>
    <w:rsid w:val="00897465"/>
    <w:rsid w:val="008A12DB"/>
    <w:rsid w:val="008A2164"/>
    <w:rsid w:val="008A3BF8"/>
    <w:rsid w:val="008A7018"/>
    <w:rsid w:val="008A7A12"/>
    <w:rsid w:val="008B1CA0"/>
    <w:rsid w:val="008B37EC"/>
    <w:rsid w:val="008B3E75"/>
    <w:rsid w:val="008B4859"/>
    <w:rsid w:val="008B4EB1"/>
    <w:rsid w:val="008B74A5"/>
    <w:rsid w:val="008B7BB4"/>
    <w:rsid w:val="008C4B95"/>
    <w:rsid w:val="008C6F9A"/>
    <w:rsid w:val="008D1B5B"/>
    <w:rsid w:val="008D4BBC"/>
    <w:rsid w:val="008E7DAE"/>
    <w:rsid w:val="008F09CD"/>
    <w:rsid w:val="008F1D24"/>
    <w:rsid w:val="008F1D8F"/>
    <w:rsid w:val="008F4915"/>
    <w:rsid w:val="008F4E12"/>
    <w:rsid w:val="008F765D"/>
    <w:rsid w:val="008F7AD4"/>
    <w:rsid w:val="008F7E63"/>
    <w:rsid w:val="00901711"/>
    <w:rsid w:val="00901939"/>
    <w:rsid w:val="00906EEB"/>
    <w:rsid w:val="00907E35"/>
    <w:rsid w:val="00920933"/>
    <w:rsid w:val="00925F6D"/>
    <w:rsid w:val="0093155E"/>
    <w:rsid w:val="00934361"/>
    <w:rsid w:val="00936048"/>
    <w:rsid w:val="0094537E"/>
    <w:rsid w:val="0095013A"/>
    <w:rsid w:val="009550D3"/>
    <w:rsid w:val="0096776C"/>
    <w:rsid w:val="0097392E"/>
    <w:rsid w:val="00977223"/>
    <w:rsid w:val="009773E2"/>
    <w:rsid w:val="00977C5D"/>
    <w:rsid w:val="00990231"/>
    <w:rsid w:val="0099504A"/>
    <w:rsid w:val="009A362D"/>
    <w:rsid w:val="009A3A68"/>
    <w:rsid w:val="009B0BD1"/>
    <w:rsid w:val="009B2FC6"/>
    <w:rsid w:val="009B311E"/>
    <w:rsid w:val="009C04BB"/>
    <w:rsid w:val="009C3803"/>
    <w:rsid w:val="009C6ACA"/>
    <w:rsid w:val="009E50C0"/>
    <w:rsid w:val="009E570E"/>
    <w:rsid w:val="009F2AF2"/>
    <w:rsid w:val="00A0001E"/>
    <w:rsid w:val="00A011A1"/>
    <w:rsid w:val="00A01402"/>
    <w:rsid w:val="00A01801"/>
    <w:rsid w:val="00A14455"/>
    <w:rsid w:val="00A15C2E"/>
    <w:rsid w:val="00A16B92"/>
    <w:rsid w:val="00A2592E"/>
    <w:rsid w:val="00A26BF0"/>
    <w:rsid w:val="00A300AB"/>
    <w:rsid w:val="00A33444"/>
    <w:rsid w:val="00A34755"/>
    <w:rsid w:val="00A355D5"/>
    <w:rsid w:val="00A46ECF"/>
    <w:rsid w:val="00A47539"/>
    <w:rsid w:val="00A5269C"/>
    <w:rsid w:val="00A54714"/>
    <w:rsid w:val="00A54CFB"/>
    <w:rsid w:val="00A61705"/>
    <w:rsid w:val="00A67E84"/>
    <w:rsid w:val="00A67F88"/>
    <w:rsid w:val="00A71634"/>
    <w:rsid w:val="00A71B8E"/>
    <w:rsid w:val="00A75315"/>
    <w:rsid w:val="00A76BD0"/>
    <w:rsid w:val="00A774DF"/>
    <w:rsid w:val="00A808CA"/>
    <w:rsid w:val="00A90A3A"/>
    <w:rsid w:val="00A9707D"/>
    <w:rsid w:val="00A97575"/>
    <w:rsid w:val="00AA247D"/>
    <w:rsid w:val="00AA5B55"/>
    <w:rsid w:val="00AB24C1"/>
    <w:rsid w:val="00AB5CFE"/>
    <w:rsid w:val="00AC3FA0"/>
    <w:rsid w:val="00AC581D"/>
    <w:rsid w:val="00AD249D"/>
    <w:rsid w:val="00AD6E51"/>
    <w:rsid w:val="00AE098D"/>
    <w:rsid w:val="00AE4851"/>
    <w:rsid w:val="00AE4D1A"/>
    <w:rsid w:val="00AE619E"/>
    <w:rsid w:val="00AF1A58"/>
    <w:rsid w:val="00AF3022"/>
    <w:rsid w:val="00AF5205"/>
    <w:rsid w:val="00AF6207"/>
    <w:rsid w:val="00B009A1"/>
    <w:rsid w:val="00B0129B"/>
    <w:rsid w:val="00B028B5"/>
    <w:rsid w:val="00B049FB"/>
    <w:rsid w:val="00B11155"/>
    <w:rsid w:val="00B12C03"/>
    <w:rsid w:val="00B13513"/>
    <w:rsid w:val="00B20AEE"/>
    <w:rsid w:val="00B22C77"/>
    <w:rsid w:val="00B248D7"/>
    <w:rsid w:val="00B24CE8"/>
    <w:rsid w:val="00B25140"/>
    <w:rsid w:val="00B27655"/>
    <w:rsid w:val="00B321F5"/>
    <w:rsid w:val="00B33F2E"/>
    <w:rsid w:val="00B3756C"/>
    <w:rsid w:val="00B3770F"/>
    <w:rsid w:val="00B4427A"/>
    <w:rsid w:val="00B443B8"/>
    <w:rsid w:val="00B45156"/>
    <w:rsid w:val="00B45298"/>
    <w:rsid w:val="00B45593"/>
    <w:rsid w:val="00B532ED"/>
    <w:rsid w:val="00B60D67"/>
    <w:rsid w:val="00B627CE"/>
    <w:rsid w:val="00B64B39"/>
    <w:rsid w:val="00B651D7"/>
    <w:rsid w:val="00B654E0"/>
    <w:rsid w:val="00B66E94"/>
    <w:rsid w:val="00B70317"/>
    <w:rsid w:val="00B7355E"/>
    <w:rsid w:val="00B75403"/>
    <w:rsid w:val="00B86044"/>
    <w:rsid w:val="00B866C1"/>
    <w:rsid w:val="00B90425"/>
    <w:rsid w:val="00B90463"/>
    <w:rsid w:val="00B91D54"/>
    <w:rsid w:val="00B94A16"/>
    <w:rsid w:val="00BA3ACA"/>
    <w:rsid w:val="00BA6F30"/>
    <w:rsid w:val="00BB0E9C"/>
    <w:rsid w:val="00BB1598"/>
    <w:rsid w:val="00BB611F"/>
    <w:rsid w:val="00BB6277"/>
    <w:rsid w:val="00BB71B3"/>
    <w:rsid w:val="00BC28C5"/>
    <w:rsid w:val="00BC3BFF"/>
    <w:rsid w:val="00BC4B58"/>
    <w:rsid w:val="00BC4CF9"/>
    <w:rsid w:val="00BD3961"/>
    <w:rsid w:val="00BD59A3"/>
    <w:rsid w:val="00BD5D45"/>
    <w:rsid w:val="00BE1682"/>
    <w:rsid w:val="00BE40D5"/>
    <w:rsid w:val="00BE7B6E"/>
    <w:rsid w:val="00BE7D87"/>
    <w:rsid w:val="00BF76BE"/>
    <w:rsid w:val="00C027F3"/>
    <w:rsid w:val="00C03912"/>
    <w:rsid w:val="00C12185"/>
    <w:rsid w:val="00C179A5"/>
    <w:rsid w:val="00C21545"/>
    <w:rsid w:val="00C24CC9"/>
    <w:rsid w:val="00C32301"/>
    <w:rsid w:val="00C405D4"/>
    <w:rsid w:val="00C43BB0"/>
    <w:rsid w:val="00C44A81"/>
    <w:rsid w:val="00C465B8"/>
    <w:rsid w:val="00C50B0A"/>
    <w:rsid w:val="00C50C51"/>
    <w:rsid w:val="00C56B2B"/>
    <w:rsid w:val="00C60414"/>
    <w:rsid w:val="00C62247"/>
    <w:rsid w:val="00C62C3B"/>
    <w:rsid w:val="00C63036"/>
    <w:rsid w:val="00C63E45"/>
    <w:rsid w:val="00C64662"/>
    <w:rsid w:val="00C74C4A"/>
    <w:rsid w:val="00C82832"/>
    <w:rsid w:val="00C83135"/>
    <w:rsid w:val="00C84A05"/>
    <w:rsid w:val="00C96D7A"/>
    <w:rsid w:val="00CA0C88"/>
    <w:rsid w:val="00CA185A"/>
    <w:rsid w:val="00CA2436"/>
    <w:rsid w:val="00CA53E9"/>
    <w:rsid w:val="00CB2C62"/>
    <w:rsid w:val="00CB498B"/>
    <w:rsid w:val="00CB6396"/>
    <w:rsid w:val="00CB7030"/>
    <w:rsid w:val="00CC4710"/>
    <w:rsid w:val="00CC5584"/>
    <w:rsid w:val="00CC60F7"/>
    <w:rsid w:val="00CC707E"/>
    <w:rsid w:val="00CD06E2"/>
    <w:rsid w:val="00CD0D5F"/>
    <w:rsid w:val="00CD464B"/>
    <w:rsid w:val="00CD4F97"/>
    <w:rsid w:val="00CF09BE"/>
    <w:rsid w:val="00CF1E14"/>
    <w:rsid w:val="00CF2BBE"/>
    <w:rsid w:val="00CF2C4F"/>
    <w:rsid w:val="00D02039"/>
    <w:rsid w:val="00D02098"/>
    <w:rsid w:val="00D0705C"/>
    <w:rsid w:val="00D136BE"/>
    <w:rsid w:val="00D15FA3"/>
    <w:rsid w:val="00D2097E"/>
    <w:rsid w:val="00D23865"/>
    <w:rsid w:val="00D26947"/>
    <w:rsid w:val="00D3006F"/>
    <w:rsid w:val="00D3096F"/>
    <w:rsid w:val="00D30C5C"/>
    <w:rsid w:val="00D30FE5"/>
    <w:rsid w:val="00D37C58"/>
    <w:rsid w:val="00D4242C"/>
    <w:rsid w:val="00D43EBE"/>
    <w:rsid w:val="00D44A2C"/>
    <w:rsid w:val="00D457DD"/>
    <w:rsid w:val="00D52BB9"/>
    <w:rsid w:val="00D56996"/>
    <w:rsid w:val="00D56A19"/>
    <w:rsid w:val="00D61F09"/>
    <w:rsid w:val="00D66CF5"/>
    <w:rsid w:val="00D71EF8"/>
    <w:rsid w:val="00D732C2"/>
    <w:rsid w:val="00D73E0B"/>
    <w:rsid w:val="00D76255"/>
    <w:rsid w:val="00D76BAA"/>
    <w:rsid w:val="00D80B1B"/>
    <w:rsid w:val="00D849FA"/>
    <w:rsid w:val="00D8736C"/>
    <w:rsid w:val="00D910D7"/>
    <w:rsid w:val="00D917E1"/>
    <w:rsid w:val="00DA198E"/>
    <w:rsid w:val="00DA3349"/>
    <w:rsid w:val="00DA57AD"/>
    <w:rsid w:val="00DB1F29"/>
    <w:rsid w:val="00DB4754"/>
    <w:rsid w:val="00DB7F4A"/>
    <w:rsid w:val="00DC0226"/>
    <w:rsid w:val="00DC6F83"/>
    <w:rsid w:val="00DD19B2"/>
    <w:rsid w:val="00DD1C29"/>
    <w:rsid w:val="00DD3D68"/>
    <w:rsid w:val="00DE2403"/>
    <w:rsid w:val="00DE2C73"/>
    <w:rsid w:val="00DEFEDE"/>
    <w:rsid w:val="00DF5AA4"/>
    <w:rsid w:val="00DF5F52"/>
    <w:rsid w:val="00E01C37"/>
    <w:rsid w:val="00E02087"/>
    <w:rsid w:val="00E0215E"/>
    <w:rsid w:val="00E03435"/>
    <w:rsid w:val="00E11D59"/>
    <w:rsid w:val="00E14C17"/>
    <w:rsid w:val="00E1641D"/>
    <w:rsid w:val="00E26339"/>
    <w:rsid w:val="00E30CD4"/>
    <w:rsid w:val="00E346C5"/>
    <w:rsid w:val="00E36B2D"/>
    <w:rsid w:val="00E41B1C"/>
    <w:rsid w:val="00E43DD6"/>
    <w:rsid w:val="00E44121"/>
    <w:rsid w:val="00E51A01"/>
    <w:rsid w:val="00E53A64"/>
    <w:rsid w:val="00E53CA1"/>
    <w:rsid w:val="00E608D0"/>
    <w:rsid w:val="00E60CFB"/>
    <w:rsid w:val="00E61828"/>
    <w:rsid w:val="00E72C5B"/>
    <w:rsid w:val="00E74548"/>
    <w:rsid w:val="00E765F8"/>
    <w:rsid w:val="00E8031D"/>
    <w:rsid w:val="00E82E70"/>
    <w:rsid w:val="00E84932"/>
    <w:rsid w:val="00E864D8"/>
    <w:rsid w:val="00E8A739"/>
    <w:rsid w:val="00E91331"/>
    <w:rsid w:val="00E91CC3"/>
    <w:rsid w:val="00E92D19"/>
    <w:rsid w:val="00E971BB"/>
    <w:rsid w:val="00EA4B01"/>
    <w:rsid w:val="00EA5F2E"/>
    <w:rsid w:val="00EA6174"/>
    <w:rsid w:val="00EA7152"/>
    <w:rsid w:val="00EA74A5"/>
    <w:rsid w:val="00EB3330"/>
    <w:rsid w:val="00EB3A75"/>
    <w:rsid w:val="00EB4BC0"/>
    <w:rsid w:val="00EB5941"/>
    <w:rsid w:val="00EC0B20"/>
    <w:rsid w:val="00EC0F7C"/>
    <w:rsid w:val="00EC1F47"/>
    <w:rsid w:val="00EC298E"/>
    <w:rsid w:val="00EC3ACA"/>
    <w:rsid w:val="00EC795B"/>
    <w:rsid w:val="00ED1394"/>
    <w:rsid w:val="00ED366C"/>
    <w:rsid w:val="00ED775A"/>
    <w:rsid w:val="00EF645A"/>
    <w:rsid w:val="00F072C4"/>
    <w:rsid w:val="00F07545"/>
    <w:rsid w:val="00F121C0"/>
    <w:rsid w:val="00F141DB"/>
    <w:rsid w:val="00F15927"/>
    <w:rsid w:val="00F20E5A"/>
    <w:rsid w:val="00F32133"/>
    <w:rsid w:val="00F338D7"/>
    <w:rsid w:val="00F40950"/>
    <w:rsid w:val="00F518C8"/>
    <w:rsid w:val="00F51DB7"/>
    <w:rsid w:val="00F52687"/>
    <w:rsid w:val="00F55668"/>
    <w:rsid w:val="00F60134"/>
    <w:rsid w:val="00F6334B"/>
    <w:rsid w:val="00F7401C"/>
    <w:rsid w:val="00F76F66"/>
    <w:rsid w:val="00F775A9"/>
    <w:rsid w:val="00F81315"/>
    <w:rsid w:val="00F81642"/>
    <w:rsid w:val="00F8210E"/>
    <w:rsid w:val="00F8462B"/>
    <w:rsid w:val="00F91272"/>
    <w:rsid w:val="00F943B9"/>
    <w:rsid w:val="00F96EC8"/>
    <w:rsid w:val="00FA1F28"/>
    <w:rsid w:val="00FA30D6"/>
    <w:rsid w:val="00FB06BA"/>
    <w:rsid w:val="00FB0DF3"/>
    <w:rsid w:val="00FB1853"/>
    <w:rsid w:val="00FB548F"/>
    <w:rsid w:val="00FB5803"/>
    <w:rsid w:val="00FC5953"/>
    <w:rsid w:val="00FC6BF4"/>
    <w:rsid w:val="00FC6E1E"/>
    <w:rsid w:val="00FD197D"/>
    <w:rsid w:val="00FD23AB"/>
    <w:rsid w:val="00FD7B16"/>
    <w:rsid w:val="00FE38EA"/>
    <w:rsid w:val="00FE3BA8"/>
    <w:rsid w:val="00FE5ACB"/>
    <w:rsid w:val="00FF1740"/>
    <w:rsid w:val="00FF6129"/>
    <w:rsid w:val="00FF66C6"/>
    <w:rsid w:val="010C20EC"/>
    <w:rsid w:val="0110E26F"/>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7A0704"/>
    <w:rsid w:val="0C7FE601"/>
    <w:rsid w:val="0C86223E"/>
    <w:rsid w:val="0CC07C3A"/>
    <w:rsid w:val="0CCC7DCD"/>
    <w:rsid w:val="0D0C3F68"/>
    <w:rsid w:val="0D475809"/>
    <w:rsid w:val="0D78C0D9"/>
    <w:rsid w:val="0D8024E9"/>
    <w:rsid w:val="0D865E85"/>
    <w:rsid w:val="0D96DAA6"/>
    <w:rsid w:val="0DAEAC62"/>
    <w:rsid w:val="0DC875D7"/>
    <w:rsid w:val="0DCA93C9"/>
    <w:rsid w:val="0DF46420"/>
    <w:rsid w:val="0E21F29F"/>
    <w:rsid w:val="0E34D07A"/>
    <w:rsid w:val="0E50137E"/>
    <w:rsid w:val="0E55AB9D"/>
    <w:rsid w:val="0E7139EF"/>
    <w:rsid w:val="0E9B22E7"/>
    <w:rsid w:val="0EAE183F"/>
    <w:rsid w:val="0EC45F54"/>
    <w:rsid w:val="0F057F8C"/>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B541E1"/>
    <w:rsid w:val="1FD3E6CA"/>
    <w:rsid w:val="201162CB"/>
    <w:rsid w:val="201E295C"/>
    <w:rsid w:val="2022A1E4"/>
    <w:rsid w:val="20296055"/>
    <w:rsid w:val="203C16FD"/>
    <w:rsid w:val="205BA688"/>
    <w:rsid w:val="207ADBE0"/>
    <w:rsid w:val="2080AEFD"/>
    <w:rsid w:val="20EA680C"/>
    <w:rsid w:val="20F39C7C"/>
    <w:rsid w:val="213656ED"/>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E5EFB44"/>
    <w:rsid w:val="2E661A64"/>
    <w:rsid w:val="2E91C8E4"/>
    <w:rsid w:val="2EBCD194"/>
    <w:rsid w:val="2ECE0C6B"/>
    <w:rsid w:val="2EE8B545"/>
    <w:rsid w:val="2EE9C78F"/>
    <w:rsid w:val="2F1F8919"/>
    <w:rsid w:val="2F264B8E"/>
    <w:rsid w:val="2F36F7D7"/>
    <w:rsid w:val="2F3BC269"/>
    <w:rsid w:val="2F460737"/>
    <w:rsid w:val="2FB30CF3"/>
    <w:rsid w:val="2FC2716E"/>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9440AAD"/>
    <w:rsid w:val="4954723A"/>
    <w:rsid w:val="496A59D4"/>
    <w:rsid w:val="49703F6C"/>
    <w:rsid w:val="49A019BD"/>
    <w:rsid w:val="49A326A3"/>
    <w:rsid w:val="49BCA215"/>
    <w:rsid w:val="49C0756F"/>
    <w:rsid w:val="49F672C1"/>
    <w:rsid w:val="4A41933D"/>
    <w:rsid w:val="4A52F4C8"/>
    <w:rsid w:val="4A5F8DCC"/>
    <w:rsid w:val="4AC47935"/>
    <w:rsid w:val="4AC931DF"/>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E243D0"/>
    <w:rsid w:val="5EFB6C2D"/>
    <w:rsid w:val="5F24F525"/>
    <w:rsid w:val="5F2737AE"/>
    <w:rsid w:val="5F2D8D38"/>
    <w:rsid w:val="5F5C7443"/>
    <w:rsid w:val="5F797076"/>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9DDC0A"/>
    <w:rsid w:val="66AA632F"/>
    <w:rsid w:val="6741CFFE"/>
    <w:rsid w:val="675F767C"/>
    <w:rsid w:val="67847148"/>
    <w:rsid w:val="67C6D9A1"/>
    <w:rsid w:val="681626E2"/>
    <w:rsid w:val="6834829D"/>
    <w:rsid w:val="685FA356"/>
    <w:rsid w:val="687FE2EB"/>
    <w:rsid w:val="68945E42"/>
    <w:rsid w:val="68AD8EA0"/>
    <w:rsid w:val="68C228D8"/>
    <w:rsid w:val="68CD5E4F"/>
    <w:rsid w:val="68D8AC60"/>
    <w:rsid w:val="68DEF752"/>
    <w:rsid w:val="68EC0FB8"/>
    <w:rsid w:val="6907D1F6"/>
    <w:rsid w:val="6918C7C7"/>
    <w:rsid w:val="692041A9"/>
    <w:rsid w:val="69262A63"/>
    <w:rsid w:val="6929EB87"/>
    <w:rsid w:val="6939B476"/>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80DA3C"/>
    <w:rsid w:val="729875ED"/>
    <w:rsid w:val="72B942C9"/>
    <w:rsid w:val="72C3940E"/>
    <w:rsid w:val="72C8916E"/>
    <w:rsid w:val="72CF2288"/>
    <w:rsid w:val="72E12032"/>
    <w:rsid w:val="7316072E"/>
    <w:rsid w:val="735C7F95"/>
    <w:rsid w:val="735CC379"/>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604CE"/>
    <w:rsid w:val="7CA79AFA"/>
    <w:rsid w:val="7CDCD9F3"/>
    <w:rsid w:val="7D024F91"/>
    <w:rsid w:val="7D0D72B7"/>
    <w:rsid w:val="7D32E587"/>
    <w:rsid w:val="7D3583E9"/>
    <w:rsid w:val="7D9221C9"/>
    <w:rsid w:val="7DAE460C"/>
    <w:rsid w:val="7DE2B326"/>
    <w:rsid w:val="7DE69282"/>
    <w:rsid w:val="7DFE64C2"/>
    <w:rsid w:val="7E4D35E2"/>
    <w:rsid w:val="7E542C75"/>
    <w:rsid w:val="7E5FAB3C"/>
    <w:rsid w:val="7E723C41"/>
    <w:rsid w:val="7E918DD2"/>
    <w:rsid w:val="7E9E1FF2"/>
    <w:rsid w:val="7EC05596"/>
    <w:rsid w:val="7ED5D82A"/>
    <w:rsid w:val="7ED99C9F"/>
    <w:rsid w:val="7EF10F36"/>
    <w:rsid w:val="7F013211"/>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7110F824"/>
    <w:pPr>
      <w:spacing w:after="0"/>
    </w:pPr>
    <w:rPr>
      <w:rFonts w:ascii="Times New Roman" w:eastAsia="Times New Roman" w:hAnsi="Times New Roman" w:cs="Times New Roman"/>
      <w:sz w:val="24"/>
      <w:szCs w:val="24"/>
      <w:lang w:val="cs-CZ"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eastAsiaTheme="majorEastAsia" w:hAnsiTheme="majorHAnsi"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eastAsiaTheme="majorEastAsia" w:hAnsiTheme="majorHAnsi"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eastAsiaTheme="majorEastAsia" w:hAnsiTheme="majorHAnsi"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eastAsiaTheme="majorEastAsia" w:hAnsiTheme="majorHAnsi"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eastAsiaTheme="majorEastAsia" w:hAnsiTheme="majorHAnsi"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eastAsiaTheme="majorEastAsia" w:hAnsiTheme="majorHAnsi"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eastAsiaTheme="majorEastAsia" w:hAnsiTheme="majorHAnsi" w:cstheme="majorBidi"/>
      <w:i/>
      <w:iCs/>
      <w:color w:val="5A6F7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customStyle="1" w:styleId="ZhlavChar">
    <w:name w:val="Záhlaví Char"/>
    <w:basedOn w:val="Standardnpsmoodstavce"/>
    <w:link w:val="Zhlav"/>
    <w:uiPriority w:val="99"/>
    <w:rsid w:val="7110F824"/>
    <w:rPr>
      <w:noProof w:val="0"/>
      <w:lang w:val="cs-CZ"/>
    </w:rPr>
  </w:style>
  <w:style w:type="paragraph" w:styleId="Zpat">
    <w:name w:val="footer"/>
    <w:basedOn w:val="Normln"/>
    <w:link w:val="ZpatChar"/>
    <w:uiPriority w:val="99"/>
    <w:unhideWhenUsed/>
    <w:rsid w:val="7110F824"/>
    <w:pPr>
      <w:tabs>
        <w:tab w:val="center" w:pos="4680"/>
        <w:tab w:val="right" w:pos="9360"/>
      </w:tabs>
    </w:pPr>
  </w:style>
  <w:style w:type="character" w:customStyle="1" w:styleId="ZpatChar">
    <w:name w:val="Zápatí Char"/>
    <w:basedOn w:val="Standardnpsmoodstavce"/>
    <w:link w:val="Zpat"/>
    <w:uiPriority w:val="99"/>
    <w:rsid w:val="7110F824"/>
    <w:rPr>
      <w:noProof w:val="0"/>
      <w:lang w:val="cs-CZ"/>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customStyle="1" w:styleId="TextbublinyChar">
    <w:name w:val="Text bubliny Char"/>
    <w:basedOn w:val="Standardnpsmoodstavce"/>
    <w:link w:val="Textbubliny"/>
    <w:uiPriority w:val="99"/>
    <w:semiHidden/>
    <w:rsid w:val="7110F824"/>
    <w:rPr>
      <w:rFonts w:ascii="Tahoma" w:eastAsiaTheme="minorEastAsia" w:hAnsi="Tahoma" w:cs="Tahoma"/>
      <w:noProof w:val="0"/>
      <w:sz w:val="16"/>
      <w:szCs w:val="16"/>
      <w:lang w:val="cs-CZ"/>
    </w:rPr>
  </w:style>
  <w:style w:type="paragraph" w:customStyle="1" w:styleId="MainText">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uiPriority w:val="1"/>
    <w:rsid w:val="7110F824"/>
    <w:rPr>
      <w:rFonts w:ascii="Futura Bk BT" w:eastAsia="Times New Roman" w:hAnsi="Futura Bk BT" w:cs="Times New Roman"/>
      <w:b/>
      <w:bCs/>
      <w:noProof w:val="0"/>
      <w:color w:val="999999"/>
      <w:sz w:val="20"/>
      <w:szCs w:val="20"/>
      <w:lang w:val="cs-CZ"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uiPriority w:val="1"/>
    <w:qFormat/>
    <w:rsid w:val="7110F824"/>
    <w:rPr>
      <w:color w:val="425254" w:themeColor="text1"/>
    </w:rPr>
  </w:style>
  <w:style w:type="paragraph" w:customStyle="1" w:styleId="Boilerplate">
    <w:name w:val="Boilerplate"/>
    <w:basedOn w:val="Normln"/>
    <w:uiPriority w:val="1"/>
    <w:rsid w:val="7110F824"/>
    <w:rPr>
      <w:rFonts w:ascii="Calibre" w:eastAsia="Calibri" w:hAnsi="Calibre"/>
      <w:color w:val="7F8481" w:themeColor="accent5"/>
      <w:sz w:val="21"/>
      <w:szCs w:val="21"/>
    </w:rPr>
  </w:style>
  <w:style w:type="paragraph" w:customStyle="1" w:styleId="Subhead">
    <w:name w:val="Subhead"/>
    <w:basedOn w:val="Normln"/>
    <w:uiPriority w:val="1"/>
    <w:qFormat/>
    <w:rsid w:val="7110F824"/>
    <w:pPr>
      <w:jc w:val="center"/>
    </w:pPr>
    <w:rPr>
      <w:i/>
      <w:iCs/>
      <w:color w:val="425254" w:themeColor="text1"/>
    </w:rPr>
  </w:style>
  <w:style w:type="paragraph" w:customStyle="1" w:styleId="Headline">
    <w:name w:val="Headline"/>
    <w:basedOn w:val="Normln"/>
    <w:uiPriority w:val="1"/>
    <w:qFormat/>
    <w:rsid w:val="7110F824"/>
    <w:pPr>
      <w:jc w:val="center"/>
    </w:pPr>
    <w:rPr>
      <w:b/>
      <w:bCs/>
      <w:color w:val="425254" w:themeColor="text1"/>
      <w:sz w:val="28"/>
      <w:szCs w:val="28"/>
    </w:rPr>
  </w:style>
  <w:style w:type="paragraph" w:customStyle="1" w:styleId="Contact">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customStyle="1" w:styleId="TextkomenteChar">
    <w:name w:val="Text komentáře Char"/>
    <w:basedOn w:val="Standardnpsmoodstavce"/>
    <w:link w:val="Textkomente"/>
    <w:uiPriority w:val="99"/>
    <w:rsid w:val="7110F824"/>
    <w:rPr>
      <w:rFonts w:ascii="Times New Roman" w:eastAsia="Times New Roman" w:hAnsi="Times New Roman" w:cs="Times New Roman"/>
      <w:noProof w:val="0"/>
      <w:sz w:val="20"/>
      <w:szCs w:val="20"/>
      <w:lang w:val="cs-CZ"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customStyle="1" w:styleId="PedmtkomenteChar">
    <w:name w:val="Předmět komentáře Char"/>
    <w:basedOn w:val="TextkomenteChar"/>
    <w:link w:val="Pedmtkomente"/>
    <w:uiPriority w:val="99"/>
    <w:semiHidden/>
    <w:rsid w:val="7110F824"/>
    <w:rPr>
      <w:rFonts w:ascii="Times New Roman" w:eastAsia="Times New Roman" w:hAnsi="Times New Roman" w:cs="Times New Roman"/>
      <w:b/>
      <w:bCs/>
      <w:noProof w:val="0"/>
      <w:sz w:val="20"/>
      <w:szCs w:val="20"/>
      <w:lang w:val="cs-CZ" w:eastAsia="en-US"/>
    </w:rPr>
  </w:style>
  <w:style w:type="character" w:customStyle="1" w:styleId="normaltextrun">
    <w:name w:val="normaltextrun"/>
    <w:rsid w:val="003B0B9B"/>
  </w:style>
  <w:style w:type="paragraph" w:styleId="Textpoznpodarou">
    <w:name w:val="footnote text"/>
    <w:basedOn w:val="Normln"/>
    <w:link w:val="TextpoznpodarouChar"/>
    <w:uiPriority w:val="1"/>
    <w:rsid w:val="7110F824"/>
    <w:rPr>
      <w:sz w:val="20"/>
      <w:szCs w:val="20"/>
    </w:rPr>
  </w:style>
  <w:style w:type="character" w:customStyle="1" w:styleId="TextpoznpodarouChar">
    <w:name w:val="Text pozn. pod čarou Char"/>
    <w:basedOn w:val="Standardnpsmoodstavce"/>
    <w:link w:val="Textpoznpodarou"/>
    <w:uiPriority w:val="1"/>
    <w:rsid w:val="7110F824"/>
    <w:rPr>
      <w:rFonts w:ascii="Times New Roman" w:eastAsia="Times New Roman" w:hAnsi="Times New Roman" w:cs="Times New Roman"/>
      <w:noProof w:val="0"/>
      <w:sz w:val="20"/>
      <w:szCs w:val="20"/>
      <w:lang w:val="cs-CZ"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eastAsiaTheme="minorEastAsia"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Nadpis2Char">
    <w:name w:val="Nadpis 2 Char"/>
    <w:basedOn w:val="Standardnpsmoodstavce"/>
    <w:link w:val="Nadpis2"/>
    <w:uiPriority w:val="9"/>
    <w:semiHidden/>
    <w:rsid w:val="7110F824"/>
    <w:rPr>
      <w:rFonts w:asciiTheme="majorHAnsi" w:eastAsiaTheme="majorEastAsia" w:hAnsiTheme="majorHAnsi" w:cstheme="majorBidi"/>
      <w:noProof w:val="0"/>
      <w:color w:val="17294B" w:themeColor="accent1" w:themeShade="BF"/>
      <w:sz w:val="26"/>
      <w:szCs w:val="26"/>
      <w:lang w:val="cs-CZ" w:eastAsia="en-US"/>
    </w:rPr>
  </w:style>
  <w:style w:type="character" w:customStyle="1" w:styleId="Nadpis3Char">
    <w:name w:val="Nadpis 3 Char"/>
    <w:basedOn w:val="Standardnpsmoodstavce"/>
    <w:link w:val="Nadpis3"/>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character" w:customStyle="1" w:styleId="Nadpis6Char">
    <w:name w:val="Nadpis 6 Char"/>
    <w:basedOn w:val="Standardnpsmoodstavce"/>
    <w:link w:val="Nadpis6"/>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paragraph" w:customStyle="1" w:styleId="ez">
    <w:name w:val="e_z"/>
    <w:basedOn w:val="Normln"/>
    <w:uiPriority w:val="1"/>
    <w:rsid w:val="7110F824"/>
    <w:pPr>
      <w:spacing w:beforeAutospacing="1" w:afterAutospacing="1"/>
    </w:pPr>
    <w:rPr>
      <w:lang w:eastAsia="cs-CZ"/>
    </w:rPr>
  </w:style>
  <w:style w:type="character" w:customStyle="1" w:styleId="atm-text-decorator">
    <w:name w:val="atm-text-decorator"/>
    <w:basedOn w:val="Standardnpsmoodstavce"/>
    <w:rsid w:val="00047123"/>
  </w:style>
  <w:style w:type="character" w:customStyle="1" w:styleId="mol-formatted-datedate">
    <w:name w:val="mol-formatted-date__date"/>
    <w:basedOn w:val="Standardnpsmoodstavce"/>
    <w:rsid w:val="00047123"/>
  </w:style>
  <w:style w:type="character" w:customStyle="1" w:styleId="mol-formatted-datetime">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customStyle="1" w:styleId="viiyi">
    <w:name w:val="viiyi"/>
    <w:basedOn w:val="Standardnpsmoodstavce"/>
    <w:rsid w:val="0021614D"/>
  </w:style>
  <w:style w:type="character" w:customStyle="1" w:styleId="jlqj4b">
    <w:name w:val="jlqj4b"/>
    <w:basedOn w:val="Standardnpsmoodstavce"/>
    <w:rsid w:val="0021614D"/>
  </w:style>
  <w:style w:type="character" w:customStyle="1" w:styleId="Nadpis5Char">
    <w:name w:val="Nadpis 5 Char"/>
    <w:basedOn w:val="Standardnpsmoodstavce"/>
    <w:link w:val="Nadpis5"/>
    <w:uiPriority w:val="9"/>
    <w:semiHidden/>
    <w:rsid w:val="7110F824"/>
    <w:rPr>
      <w:rFonts w:asciiTheme="majorHAnsi" w:eastAsiaTheme="majorEastAsia" w:hAnsiTheme="majorHAnsi" w:cstheme="majorBidi"/>
      <w:noProof w:val="0"/>
      <w:color w:val="17294B" w:themeColor="accent1" w:themeShade="BF"/>
      <w:sz w:val="24"/>
      <w:szCs w:val="24"/>
      <w:lang w:val="cs-CZ" w:eastAsia="en-US"/>
    </w:rPr>
  </w:style>
  <w:style w:type="paragraph" w:customStyle="1" w:styleId="paragraph">
    <w:name w:val="paragraph"/>
    <w:basedOn w:val="Normln"/>
    <w:uiPriority w:val="1"/>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customStyle="1" w:styleId="eop">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eastAsiaTheme="majorEastAsia" w:hAnsiTheme="majorHAnsi" w:cstheme="majorBidi"/>
      <w:sz w:val="56"/>
      <w:szCs w:val="56"/>
    </w:rPr>
  </w:style>
  <w:style w:type="paragraph" w:styleId="Podtitul">
    <w:name w:val="Subtitle"/>
    <w:basedOn w:val="Normln"/>
    <w:next w:val="Normln"/>
    <w:link w:val="Podtitul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customStyle="1" w:styleId="Nadpis4Char">
    <w:name w:val="Nadpis 4 Char"/>
    <w:basedOn w:val="Standardnpsmoodstavce"/>
    <w:link w:val="Nadpis4"/>
    <w:uiPriority w:val="9"/>
    <w:rsid w:val="7110F824"/>
    <w:rPr>
      <w:rFonts w:asciiTheme="majorHAnsi" w:eastAsiaTheme="majorEastAsia" w:hAnsiTheme="majorHAnsi" w:cstheme="majorBidi"/>
      <w:i/>
      <w:iCs/>
      <w:noProof w:val="0"/>
      <w:color w:val="17294B" w:themeColor="accent1" w:themeShade="BF"/>
      <w:lang w:val="cs-CZ"/>
    </w:rPr>
  </w:style>
  <w:style w:type="character" w:customStyle="1" w:styleId="Nadpis7Char">
    <w:name w:val="Nadpis 7 Char"/>
    <w:basedOn w:val="Standardnpsmoodstavce"/>
    <w:link w:val="Nadpis7"/>
    <w:uiPriority w:val="9"/>
    <w:rsid w:val="7110F824"/>
    <w:rPr>
      <w:rFonts w:asciiTheme="majorHAnsi" w:eastAsiaTheme="majorEastAsia" w:hAnsiTheme="majorHAnsi" w:cstheme="majorBidi"/>
      <w:i/>
      <w:iCs/>
      <w:noProof w:val="0"/>
      <w:color w:val="0F1B32" w:themeColor="accent1" w:themeShade="80"/>
      <w:lang w:val="cs-CZ"/>
    </w:rPr>
  </w:style>
  <w:style w:type="character" w:customStyle="1" w:styleId="Nadpis8Char">
    <w:name w:val="Nadpis 8 Char"/>
    <w:basedOn w:val="Standardnpsmoodstavce"/>
    <w:link w:val="Nadpis8"/>
    <w:uiPriority w:val="9"/>
    <w:rsid w:val="7110F824"/>
    <w:rPr>
      <w:rFonts w:asciiTheme="majorHAnsi" w:eastAsiaTheme="majorEastAsia" w:hAnsiTheme="majorHAnsi" w:cstheme="majorBidi"/>
      <w:noProof w:val="0"/>
      <w:color w:val="5A6F72"/>
      <w:sz w:val="21"/>
      <w:szCs w:val="21"/>
      <w:lang w:val="cs-CZ"/>
    </w:rPr>
  </w:style>
  <w:style w:type="character" w:customStyle="1" w:styleId="Nadpis9Char">
    <w:name w:val="Nadpis 9 Char"/>
    <w:basedOn w:val="Standardnpsmoodstavce"/>
    <w:link w:val="Nadpis9"/>
    <w:uiPriority w:val="9"/>
    <w:rsid w:val="7110F824"/>
    <w:rPr>
      <w:rFonts w:asciiTheme="majorHAnsi" w:eastAsiaTheme="majorEastAsia" w:hAnsiTheme="majorHAnsi" w:cstheme="majorBidi"/>
      <w:i/>
      <w:iCs/>
      <w:noProof w:val="0"/>
      <w:color w:val="5A6F72"/>
      <w:sz w:val="21"/>
      <w:szCs w:val="21"/>
      <w:lang w:val="cs-CZ"/>
    </w:rPr>
  </w:style>
  <w:style w:type="character" w:customStyle="1" w:styleId="NzevChar">
    <w:name w:val="Název Char"/>
    <w:basedOn w:val="Standardnpsmoodstavce"/>
    <w:link w:val="Nzev"/>
    <w:uiPriority w:val="10"/>
    <w:rsid w:val="7110F824"/>
    <w:rPr>
      <w:rFonts w:asciiTheme="majorHAnsi" w:eastAsiaTheme="majorEastAsia" w:hAnsiTheme="majorHAnsi" w:cstheme="majorBidi"/>
      <w:noProof w:val="0"/>
      <w:sz w:val="56"/>
      <w:szCs w:val="56"/>
      <w:lang w:val="cs-CZ"/>
    </w:rPr>
  </w:style>
  <w:style w:type="character" w:customStyle="1" w:styleId="PodtitulChar">
    <w:name w:val="Podtitul Char"/>
    <w:basedOn w:val="Standardnpsmoodstavce"/>
    <w:link w:val="Podtitul"/>
    <w:uiPriority w:val="11"/>
    <w:rsid w:val="7110F824"/>
    <w:rPr>
      <w:noProof w:val="0"/>
      <w:color w:val="7C9598"/>
      <w:lang w:val="cs-CZ"/>
    </w:rPr>
  </w:style>
  <w:style w:type="character" w:customStyle="1" w:styleId="CittChar">
    <w:name w:val="Citát Char"/>
    <w:basedOn w:val="Standardnpsmoodstavce"/>
    <w:link w:val="Citt"/>
    <w:uiPriority w:val="29"/>
    <w:rsid w:val="7110F824"/>
    <w:rPr>
      <w:i/>
      <w:iCs/>
      <w:noProof w:val="0"/>
      <w:color w:val="698386"/>
      <w:lang w:val="cs-CZ"/>
    </w:rPr>
  </w:style>
  <w:style w:type="character" w:customStyle="1" w:styleId="VrazncittChar">
    <w:name w:val="Výrazný citát Char"/>
    <w:basedOn w:val="Standardnpsmoodstavce"/>
    <w:link w:val="Vrazncitt"/>
    <w:uiPriority w:val="30"/>
    <w:rsid w:val="7110F824"/>
    <w:rPr>
      <w:i/>
      <w:iCs/>
      <w:noProof w:val="0"/>
      <w:color w:val="1F3765" w:themeColor="accent1"/>
      <w:lang w:val="cs-CZ"/>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customStyle="1" w:styleId="TextvysvtlivekChar">
    <w:name w:val="Text vysvětlivek Char"/>
    <w:basedOn w:val="Standardnpsmoodstavce"/>
    <w:link w:val="Textvysvtlivek"/>
    <w:uiPriority w:val="99"/>
    <w:semiHidden/>
    <w:rsid w:val="7110F824"/>
    <w:rPr>
      <w:noProof w:val="0"/>
      <w:sz w:val="20"/>
      <w:szCs w:val="20"/>
      <w:lang w:val="cs-CZ"/>
    </w:rPr>
  </w:style>
  <w:style w:type="character" w:customStyle="1" w:styleId="UnresolvedMention">
    <w:name w:val="Unresolved Mention"/>
    <w:basedOn w:val="Standardnpsmoodstavce"/>
    <w:uiPriority w:val="99"/>
    <w:semiHidden/>
    <w:unhideWhenUsed/>
    <w:rsid w:val="0037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1108279461">
          <w:marLeft w:val="0"/>
          <w:marRight w:val="0"/>
          <w:marTop w:val="0"/>
          <w:marBottom w:val="0"/>
          <w:divBdr>
            <w:top w:val="none" w:sz="0" w:space="0" w:color="auto"/>
            <w:left w:val="none" w:sz="0" w:space="0" w:color="auto"/>
            <w:bottom w:val="none" w:sz="0" w:space="0" w:color="auto"/>
            <w:right w:val="none" w:sz="0" w:space="0" w:color="auto"/>
          </w:divBdr>
        </w:div>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1389374699">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247859084">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097">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86386">
                              <w:marLeft w:val="0"/>
                              <w:marRight w:val="0"/>
                              <w:marTop w:val="0"/>
                              <w:marBottom w:val="0"/>
                              <w:divBdr>
                                <w:top w:val="none" w:sz="0" w:space="0" w:color="auto"/>
                                <w:left w:val="none" w:sz="0" w:space="0" w:color="auto"/>
                                <w:bottom w:val="none" w:sz="0" w:space="0" w:color="auto"/>
                                <w:right w:val="none" w:sz="0" w:space="0" w:color="auto"/>
                              </w:divBdr>
                            </w:div>
                          </w:divsChild>
                        </w:div>
                        <w:div w:id="31635094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kolarikova@crestcom.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razova@cb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kamila.cadkova@crestcom.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C3D4-8F8C-4718-A976-F3B08292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20</TotalTime>
  <Pages>6</Pages>
  <Words>2282</Words>
  <Characters>13467</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Tereza Štosová</cp:lastModifiedBy>
  <cp:revision>6</cp:revision>
  <dcterms:created xsi:type="dcterms:W3CDTF">2022-06-03T08:30:00Z</dcterms:created>
  <dcterms:modified xsi:type="dcterms:W3CDTF">2022-06-08T07:55:00Z</dcterms:modified>
</cp:coreProperties>
</file>